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F0B5A" w14:textId="0A2F8A0D" w:rsidR="00A249A6" w:rsidRPr="002124DF" w:rsidRDefault="00D26068" w:rsidP="0025244D">
      <w:pPr>
        <w:jc w:val="both"/>
        <w:rPr>
          <w:rFonts w:ascii="Ping LCG Regular" w:hAnsi="Ping LCG Regular" w:cs="Arial"/>
          <w:b/>
          <w:spacing w:val="-14"/>
          <w:sz w:val="22"/>
          <w:szCs w:val="22"/>
          <w:lang w:val="el-GR"/>
        </w:rPr>
      </w:pPr>
      <w:bookmarkStart w:id="0" w:name="_GoBack"/>
      <w:bookmarkEnd w:id="0"/>
      <w:r w:rsidRPr="002124DF">
        <w:rPr>
          <w:rFonts w:ascii="Ping LCG Regular" w:hAnsi="Ping LCG Regular" w:cs="Arial"/>
          <w:b/>
          <w:spacing w:val="-14"/>
          <w:sz w:val="22"/>
          <w:szCs w:val="22"/>
          <w:lang w:val="el-GR"/>
        </w:rPr>
        <w:t xml:space="preserve">Αθήνα, </w:t>
      </w:r>
      <w:r w:rsidR="007720AE">
        <w:rPr>
          <w:rFonts w:ascii="Ping LCG Regular" w:hAnsi="Ping LCG Regular" w:cs="Arial"/>
          <w:b/>
          <w:spacing w:val="-14"/>
          <w:sz w:val="22"/>
          <w:szCs w:val="22"/>
          <w:lang w:val="el-GR"/>
        </w:rPr>
        <w:t>9</w:t>
      </w:r>
      <w:r w:rsidR="00292615" w:rsidRPr="002124DF">
        <w:rPr>
          <w:rFonts w:ascii="Ping LCG Regular" w:hAnsi="Ping LCG Regular" w:cs="Arial"/>
          <w:b/>
          <w:spacing w:val="-14"/>
          <w:sz w:val="22"/>
          <w:szCs w:val="22"/>
          <w:lang w:val="el-GR"/>
        </w:rPr>
        <w:t xml:space="preserve"> </w:t>
      </w:r>
      <w:r w:rsidR="009D2B5C">
        <w:rPr>
          <w:rFonts w:ascii="Ping LCG Regular" w:hAnsi="Ping LCG Regular" w:cs="Arial"/>
          <w:b/>
          <w:spacing w:val="-14"/>
          <w:sz w:val="22"/>
          <w:szCs w:val="22"/>
          <w:lang w:val="el-GR"/>
        </w:rPr>
        <w:t>Νοεμβρίου</w:t>
      </w:r>
      <w:r w:rsidR="000F28D9">
        <w:rPr>
          <w:rFonts w:ascii="Ping LCG Regular" w:hAnsi="Ping LCG Regular" w:cs="Arial"/>
          <w:b/>
          <w:spacing w:val="-14"/>
          <w:sz w:val="22"/>
          <w:szCs w:val="22"/>
          <w:lang w:val="el-GR"/>
        </w:rPr>
        <w:t xml:space="preserve"> </w:t>
      </w:r>
      <w:r w:rsidR="00E03165" w:rsidRPr="002124DF">
        <w:rPr>
          <w:rFonts w:ascii="Ping LCG Regular" w:hAnsi="Ping LCG Regular" w:cs="Arial"/>
          <w:b/>
          <w:spacing w:val="-14"/>
          <w:sz w:val="22"/>
          <w:szCs w:val="22"/>
          <w:lang w:val="el-GR"/>
        </w:rPr>
        <w:t>2</w:t>
      </w:r>
      <w:r w:rsidR="00A249A6" w:rsidRPr="002124DF">
        <w:rPr>
          <w:rFonts w:ascii="Ping LCG Regular" w:hAnsi="Ping LCG Regular" w:cs="Arial"/>
          <w:b/>
          <w:spacing w:val="-14"/>
          <w:sz w:val="22"/>
          <w:szCs w:val="22"/>
          <w:lang w:val="el-GR"/>
        </w:rPr>
        <w:t>02</w:t>
      </w:r>
      <w:r w:rsidR="000F28D9">
        <w:rPr>
          <w:rFonts w:ascii="Ping LCG Regular" w:hAnsi="Ping LCG Regular" w:cs="Arial"/>
          <w:b/>
          <w:spacing w:val="-14"/>
          <w:sz w:val="22"/>
          <w:szCs w:val="22"/>
          <w:lang w:val="el-GR"/>
        </w:rPr>
        <w:t>3</w:t>
      </w:r>
      <w:r w:rsidR="009F58DC" w:rsidRPr="002124DF">
        <w:rPr>
          <w:rFonts w:ascii="Ping LCG Regular" w:hAnsi="Ping LCG Regular" w:cs="Arial"/>
          <w:b/>
          <w:spacing w:val="-14"/>
          <w:sz w:val="22"/>
          <w:szCs w:val="22"/>
          <w:lang w:val="el-GR"/>
        </w:rPr>
        <w:t xml:space="preserve"> </w:t>
      </w:r>
    </w:p>
    <w:p w14:paraId="58F9B10E" w14:textId="1982CD41" w:rsidR="00760C4C" w:rsidRPr="002124DF" w:rsidRDefault="00760C4C" w:rsidP="0025244D">
      <w:pPr>
        <w:jc w:val="both"/>
        <w:rPr>
          <w:rFonts w:ascii="Ping LCG Regular" w:hAnsi="Ping LCG Regular" w:cs="Arial"/>
          <w:b/>
          <w:spacing w:val="-14"/>
          <w:sz w:val="22"/>
          <w:szCs w:val="22"/>
          <w:lang w:val="el-GR"/>
        </w:rPr>
      </w:pPr>
    </w:p>
    <w:p w14:paraId="78AA2DAA" w14:textId="1264D710" w:rsidR="00A249A6" w:rsidRPr="002124DF" w:rsidRDefault="00A249A6" w:rsidP="0025244D">
      <w:pPr>
        <w:jc w:val="both"/>
        <w:rPr>
          <w:rFonts w:ascii="Ping LCG Regular" w:hAnsi="Ping LCG Regular" w:cs="Arial"/>
          <w:b/>
          <w:spacing w:val="-14"/>
          <w:sz w:val="22"/>
          <w:szCs w:val="22"/>
          <w:lang w:val="el-GR"/>
        </w:rPr>
      </w:pPr>
    </w:p>
    <w:p w14:paraId="2A909520" w14:textId="010D6795" w:rsidR="002E7A7B" w:rsidRPr="002124DF" w:rsidRDefault="00D24192" w:rsidP="0017580E">
      <w:pPr>
        <w:jc w:val="center"/>
        <w:rPr>
          <w:rFonts w:ascii="Ping LCG Bold" w:hAnsi="Ping LCG Bold" w:cs="Arial"/>
          <w:b/>
          <w:spacing w:val="-14"/>
          <w:sz w:val="22"/>
          <w:szCs w:val="22"/>
          <w:lang w:val="el-GR"/>
        </w:rPr>
      </w:pPr>
      <w:r w:rsidRPr="00602571">
        <w:rPr>
          <w:rFonts w:ascii="Ping LCG Bold" w:hAnsi="Ping LCG Bold" w:cs="Arial"/>
          <w:b/>
          <w:spacing w:val="-14"/>
          <w:lang w:val="el-GR"/>
        </w:rPr>
        <w:t xml:space="preserve">ΑΠΟΤΕΛΕΣΜΑΤΑ  </w:t>
      </w:r>
      <w:r w:rsidR="009D2B5C">
        <w:rPr>
          <w:rFonts w:ascii="Ping LCG Bold" w:hAnsi="Ping LCG Bold" w:cs="Arial"/>
          <w:b/>
          <w:spacing w:val="-14"/>
          <w:lang w:val="el-GR"/>
        </w:rPr>
        <w:t>ΕΝΝΕΑ</w:t>
      </w:r>
      <w:r w:rsidR="00F11F3E">
        <w:rPr>
          <w:rFonts w:ascii="Ping LCG Bold" w:hAnsi="Ping LCG Bold" w:cs="Arial"/>
          <w:b/>
          <w:spacing w:val="-14"/>
          <w:lang w:val="el-GR"/>
        </w:rPr>
        <w:t>ΜΗΝΟΥ</w:t>
      </w:r>
      <w:r w:rsidR="00D77767" w:rsidRPr="00602571">
        <w:rPr>
          <w:rFonts w:ascii="Ping LCG Bold" w:hAnsi="Ping LCG Bold" w:cs="Arial"/>
          <w:b/>
          <w:spacing w:val="-14"/>
          <w:lang w:val="el-GR"/>
        </w:rPr>
        <w:t xml:space="preserve"> </w:t>
      </w:r>
      <w:r w:rsidR="002E7A7B" w:rsidRPr="00602571">
        <w:rPr>
          <w:rFonts w:ascii="Ping LCG Bold" w:hAnsi="Ping LCG Bold" w:cs="Arial"/>
          <w:b/>
          <w:spacing w:val="-14"/>
          <w:lang w:val="el-GR"/>
        </w:rPr>
        <w:t>202</w:t>
      </w:r>
      <w:r w:rsidR="009D4EA3" w:rsidRPr="00602571">
        <w:rPr>
          <w:rFonts w:ascii="Ping LCG Bold" w:hAnsi="Ping LCG Bold" w:cs="Arial"/>
          <w:b/>
          <w:spacing w:val="-14"/>
          <w:lang w:val="el-GR"/>
        </w:rPr>
        <w:t>3</w:t>
      </w:r>
      <w:r w:rsidR="002E7A7B" w:rsidRPr="00602571">
        <w:rPr>
          <w:rFonts w:ascii="Ping LCG Bold" w:hAnsi="Ping LCG Bold" w:cs="Arial"/>
          <w:b/>
          <w:spacing w:val="-14"/>
          <w:lang w:val="el-GR"/>
        </w:rPr>
        <w:t xml:space="preserve"> ΟΜΙΛΟΥ ΔΕΗ</w:t>
      </w:r>
    </w:p>
    <w:p w14:paraId="184026D9" w14:textId="77777777" w:rsidR="00EE27A9" w:rsidRPr="00C521B8" w:rsidRDefault="00EE27A9" w:rsidP="0025244D">
      <w:pPr>
        <w:jc w:val="both"/>
        <w:rPr>
          <w:rFonts w:ascii="Ping LCG Regular" w:hAnsi="Ping LCG Regular" w:cs="Arial"/>
          <w:b/>
          <w:spacing w:val="-14"/>
          <w:sz w:val="22"/>
          <w:szCs w:val="22"/>
          <w:lang w:val="el-GR"/>
        </w:rPr>
      </w:pPr>
    </w:p>
    <w:p w14:paraId="45E10765" w14:textId="25EA3D1C" w:rsidR="00550C81" w:rsidRPr="00C5484F" w:rsidRDefault="00550C81" w:rsidP="0025244D">
      <w:pPr>
        <w:pStyle w:val="ListParagraph"/>
        <w:numPr>
          <w:ilvl w:val="0"/>
          <w:numId w:val="1"/>
        </w:numPr>
        <w:spacing w:before="80" w:after="80"/>
        <w:ind w:left="357" w:hanging="357"/>
        <w:contextualSpacing w:val="0"/>
        <w:jc w:val="both"/>
        <w:rPr>
          <w:rFonts w:ascii="Ping LCG Regular" w:hAnsi="Ping LCG Regular" w:cs="Arial"/>
          <w:b/>
          <w:spacing w:val="-14"/>
          <w:sz w:val="22"/>
          <w:szCs w:val="22"/>
        </w:rPr>
      </w:pPr>
      <w:bookmarkStart w:id="1" w:name="_Hlk89091054"/>
      <w:bookmarkStart w:id="2" w:name="_Hlk113019368"/>
      <w:r w:rsidRPr="00C5484F">
        <w:rPr>
          <w:rFonts w:ascii="Ping LCG Regular" w:hAnsi="Ping LCG Regular" w:cs="Arial"/>
          <w:b/>
          <w:spacing w:val="-14"/>
          <w:sz w:val="22"/>
          <w:szCs w:val="22"/>
        </w:rPr>
        <w:t>Επαναλαμβανόμενο EBITDA ύψους €</w:t>
      </w:r>
      <w:r w:rsidR="00C43D0E" w:rsidRPr="00C5484F">
        <w:rPr>
          <w:rFonts w:ascii="Ping LCG Regular" w:hAnsi="Ping LCG Regular" w:cs="Arial"/>
          <w:b/>
          <w:spacing w:val="-14"/>
          <w:sz w:val="22"/>
          <w:szCs w:val="22"/>
        </w:rPr>
        <w:t>9</w:t>
      </w:r>
      <w:r w:rsidR="000B7994" w:rsidRPr="00C5484F">
        <w:rPr>
          <w:rFonts w:ascii="Ping LCG Regular" w:hAnsi="Ping LCG Regular" w:cs="Arial"/>
          <w:b/>
          <w:spacing w:val="-14"/>
          <w:sz w:val="22"/>
          <w:szCs w:val="22"/>
        </w:rPr>
        <w:t>37</w:t>
      </w:r>
      <w:r w:rsidR="006B0A13" w:rsidRPr="00C5484F">
        <w:rPr>
          <w:rFonts w:ascii="Ping LCG Regular" w:hAnsi="Ping LCG Regular" w:cs="Arial"/>
          <w:b/>
          <w:spacing w:val="-14"/>
          <w:sz w:val="22"/>
          <w:szCs w:val="22"/>
        </w:rPr>
        <w:t xml:space="preserve"> ε</w:t>
      </w:r>
      <w:r w:rsidRPr="00C5484F">
        <w:rPr>
          <w:rFonts w:ascii="Ping LCG Regular" w:hAnsi="Ping LCG Regular" w:cs="Arial"/>
          <w:b/>
          <w:spacing w:val="-14"/>
          <w:sz w:val="22"/>
          <w:szCs w:val="22"/>
        </w:rPr>
        <w:t xml:space="preserve">κατ. το </w:t>
      </w:r>
      <w:r w:rsidR="00C43D0E" w:rsidRPr="00C5484F">
        <w:rPr>
          <w:rFonts w:ascii="Ping LCG Regular" w:hAnsi="Ping LCG Regular" w:cs="Arial"/>
          <w:b/>
          <w:spacing w:val="-14"/>
          <w:sz w:val="22"/>
          <w:szCs w:val="22"/>
        </w:rPr>
        <w:t>εννε</w:t>
      </w:r>
      <w:r w:rsidR="00A6773C" w:rsidRPr="00C5484F">
        <w:rPr>
          <w:rFonts w:ascii="Ping LCG Regular" w:hAnsi="Ping LCG Regular" w:cs="Arial"/>
          <w:b/>
          <w:spacing w:val="-14"/>
          <w:sz w:val="22"/>
          <w:szCs w:val="22"/>
        </w:rPr>
        <w:t>ά</w:t>
      </w:r>
      <w:r w:rsidR="000D5A44" w:rsidRPr="00C5484F">
        <w:rPr>
          <w:rFonts w:ascii="Ping LCG Regular" w:hAnsi="Ping LCG Regular" w:cs="Arial"/>
          <w:b/>
          <w:spacing w:val="-14"/>
          <w:sz w:val="22"/>
          <w:szCs w:val="22"/>
        </w:rPr>
        <w:t xml:space="preserve">μηνο </w:t>
      </w:r>
      <w:r w:rsidRPr="00C5484F">
        <w:rPr>
          <w:rFonts w:ascii="Ping LCG Regular" w:hAnsi="Ping LCG Regular" w:cs="Arial"/>
          <w:b/>
          <w:spacing w:val="-14"/>
          <w:sz w:val="22"/>
          <w:szCs w:val="22"/>
        </w:rPr>
        <w:t>202</w:t>
      </w:r>
      <w:r w:rsidR="000D5A44" w:rsidRPr="00C5484F">
        <w:rPr>
          <w:rFonts w:ascii="Ping LCG Regular" w:hAnsi="Ping LCG Regular" w:cs="Arial"/>
          <w:b/>
          <w:spacing w:val="-14"/>
          <w:sz w:val="22"/>
          <w:szCs w:val="22"/>
        </w:rPr>
        <w:t>3</w:t>
      </w:r>
      <w:r w:rsidRPr="00C5484F">
        <w:rPr>
          <w:rFonts w:ascii="Ping LCG Regular" w:hAnsi="Ping LCG Regular" w:cs="Arial"/>
          <w:b/>
          <w:spacing w:val="-14"/>
          <w:sz w:val="22"/>
          <w:szCs w:val="22"/>
        </w:rPr>
        <w:t xml:space="preserve"> από €</w:t>
      </w:r>
      <w:r w:rsidR="00C43D0E" w:rsidRPr="00C5484F">
        <w:rPr>
          <w:rFonts w:ascii="Ping LCG Regular" w:hAnsi="Ping LCG Regular" w:cs="Arial"/>
          <w:b/>
          <w:spacing w:val="-14"/>
          <w:sz w:val="22"/>
          <w:szCs w:val="22"/>
        </w:rPr>
        <w:t>644</w:t>
      </w:r>
      <w:r w:rsidR="00A6773C" w:rsidRPr="00C5484F">
        <w:rPr>
          <w:rFonts w:ascii="Ping LCG Regular" w:hAnsi="Ping LCG Regular" w:cs="Arial"/>
          <w:b/>
          <w:spacing w:val="-14"/>
          <w:sz w:val="22"/>
          <w:szCs w:val="22"/>
        </w:rPr>
        <w:t xml:space="preserve">  </w:t>
      </w:r>
      <w:r w:rsidRPr="00C5484F">
        <w:rPr>
          <w:rFonts w:ascii="Ping LCG Regular" w:hAnsi="Ping LCG Regular" w:cs="Arial"/>
          <w:b/>
          <w:spacing w:val="-14"/>
          <w:sz w:val="22"/>
          <w:szCs w:val="22"/>
        </w:rPr>
        <w:t xml:space="preserve">εκατ. το </w:t>
      </w:r>
      <w:r w:rsidR="00C43D0E" w:rsidRPr="00C5484F">
        <w:rPr>
          <w:rFonts w:ascii="Ping LCG Regular" w:hAnsi="Ping LCG Regular" w:cs="Arial"/>
          <w:b/>
          <w:spacing w:val="-14"/>
          <w:sz w:val="22"/>
          <w:szCs w:val="22"/>
        </w:rPr>
        <w:t>εννε</w:t>
      </w:r>
      <w:r w:rsidR="00A6773C" w:rsidRPr="00C5484F">
        <w:rPr>
          <w:rFonts w:ascii="Ping LCG Regular" w:hAnsi="Ping LCG Regular" w:cs="Arial"/>
          <w:b/>
          <w:spacing w:val="-14"/>
          <w:sz w:val="22"/>
          <w:szCs w:val="22"/>
        </w:rPr>
        <w:t>ά</w:t>
      </w:r>
      <w:r w:rsidR="00CB097F" w:rsidRPr="00C5484F">
        <w:rPr>
          <w:rFonts w:ascii="Ping LCG Regular" w:hAnsi="Ping LCG Regular" w:cs="Arial"/>
          <w:b/>
          <w:spacing w:val="-14"/>
          <w:sz w:val="22"/>
          <w:szCs w:val="22"/>
        </w:rPr>
        <w:t>μηνο 2022</w:t>
      </w:r>
      <w:r w:rsidR="00085B76" w:rsidRPr="00C5484F">
        <w:rPr>
          <w:rFonts w:ascii="Ping LCG Regular" w:hAnsi="Ping LCG Regular" w:cs="Arial"/>
          <w:b/>
          <w:spacing w:val="-14"/>
          <w:sz w:val="22"/>
          <w:szCs w:val="22"/>
        </w:rPr>
        <w:t xml:space="preserve"> </w:t>
      </w:r>
      <w:r w:rsidR="006B0A13" w:rsidRPr="00C5484F">
        <w:rPr>
          <w:rFonts w:ascii="Ping LCG Regular" w:hAnsi="Ping LCG Regular" w:cs="Arial"/>
          <w:b/>
          <w:spacing w:val="-14"/>
          <w:sz w:val="22"/>
          <w:szCs w:val="22"/>
        </w:rPr>
        <w:t xml:space="preserve"> </w:t>
      </w:r>
      <w:r w:rsidR="00CA036B" w:rsidRPr="00C5484F">
        <w:rPr>
          <w:rFonts w:ascii="Ping LCG Regular" w:hAnsi="Ping LCG Regular" w:cs="Arial"/>
          <w:b/>
          <w:spacing w:val="-14"/>
          <w:sz w:val="22"/>
          <w:szCs w:val="22"/>
        </w:rPr>
        <w:t xml:space="preserve"> </w:t>
      </w:r>
    </w:p>
    <w:p w14:paraId="253BDD44" w14:textId="1AD5FE06" w:rsidR="0022243B" w:rsidRPr="00C5484F" w:rsidRDefault="0045213B" w:rsidP="0025244D">
      <w:pPr>
        <w:pStyle w:val="ListParagraph"/>
        <w:numPr>
          <w:ilvl w:val="0"/>
          <w:numId w:val="1"/>
        </w:numPr>
        <w:spacing w:before="80" w:after="80"/>
        <w:ind w:left="357" w:hanging="357"/>
        <w:contextualSpacing w:val="0"/>
        <w:jc w:val="both"/>
        <w:rPr>
          <w:rFonts w:ascii="Ping LCG Regular" w:hAnsi="Ping LCG Regular" w:cs="Arial"/>
          <w:b/>
          <w:spacing w:val="-14"/>
          <w:sz w:val="22"/>
          <w:szCs w:val="22"/>
        </w:rPr>
      </w:pPr>
      <w:r w:rsidRPr="00C5484F">
        <w:rPr>
          <w:rFonts w:ascii="Ping LCG Regular" w:hAnsi="Ping LCG Regular" w:cs="Arial"/>
          <w:b/>
          <w:spacing w:val="-14"/>
          <w:sz w:val="22"/>
          <w:szCs w:val="22"/>
        </w:rPr>
        <w:t xml:space="preserve">Αύξηση </w:t>
      </w:r>
      <w:r w:rsidR="0022243B" w:rsidRPr="00C5484F">
        <w:rPr>
          <w:rFonts w:ascii="Ping LCG Regular" w:hAnsi="Ping LCG Regular" w:cs="Arial"/>
          <w:b/>
          <w:spacing w:val="-14"/>
          <w:sz w:val="22"/>
          <w:szCs w:val="22"/>
        </w:rPr>
        <w:t>επενδύσεων</w:t>
      </w:r>
      <w:r w:rsidRPr="00C5484F">
        <w:rPr>
          <w:rFonts w:ascii="Ping LCG Regular" w:hAnsi="Ping LCG Regular" w:cs="Arial"/>
          <w:b/>
          <w:spacing w:val="-14"/>
          <w:sz w:val="22"/>
          <w:szCs w:val="22"/>
        </w:rPr>
        <w:t xml:space="preserve"> κατά </w:t>
      </w:r>
      <w:r w:rsidR="00CB0933" w:rsidRPr="00C5484F">
        <w:rPr>
          <w:rFonts w:ascii="Ping LCG Regular" w:hAnsi="Ping LCG Regular" w:cs="Arial"/>
          <w:b/>
          <w:spacing w:val="-14"/>
          <w:sz w:val="22"/>
          <w:szCs w:val="22"/>
        </w:rPr>
        <w:t>8</w:t>
      </w:r>
      <w:r w:rsidR="00E63084" w:rsidRPr="00C5484F">
        <w:rPr>
          <w:rFonts w:ascii="Ping LCG Regular" w:hAnsi="Ping LCG Regular" w:cs="Arial"/>
          <w:b/>
          <w:spacing w:val="-14"/>
          <w:sz w:val="22"/>
          <w:szCs w:val="22"/>
        </w:rPr>
        <w:t>1</w:t>
      </w:r>
      <w:r w:rsidR="00D96061" w:rsidRPr="00C5484F">
        <w:rPr>
          <w:rFonts w:ascii="Ping LCG Regular" w:hAnsi="Ping LCG Regular" w:cs="Arial"/>
          <w:b/>
          <w:spacing w:val="-14"/>
          <w:sz w:val="22"/>
          <w:szCs w:val="22"/>
        </w:rPr>
        <w:t>%</w:t>
      </w:r>
      <w:r w:rsidR="0022243B" w:rsidRPr="00C5484F">
        <w:rPr>
          <w:rFonts w:ascii="Ping LCG Regular" w:hAnsi="Ping LCG Regular" w:cs="Arial"/>
          <w:b/>
          <w:spacing w:val="-14"/>
          <w:sz w:val="22"/>
          <w:szCs w:val="22"/>
        </w:rPr>
        <w:t xml:space="preserve"> (€</w:t>
      </w:r>
      <w:r w:rsidR="00C75AD3" w:rsidRPr="00C5484F">
        <w:rPr>
          <w:rFonts w:ascii="Ping LCG Regular" w:hAnsi="Ping LCG Regular" w:cs="Arial"/>
          <w:b/>
          <w:spacing w:val="-14"/>
          <w:sz w:val="22"/>
          <w:szCs w:val="22"/>
        </w:rPr>
        <w:t>775</w:t>
      </w:r>
      <w:r w:rsidR="0022243B" w:rsidRPr="00C5484F">
        <w:rPr>
          <w:rFonts w:ascii="Ping LCG Regular" w:hAnsi="Ping LCG Regular" w:cs="Arial"/>
          <w:b/>
          <w:spacing w:val="-14"/>
          <w:sz w:val="22"/>
          <w:szCs w:val="22"/>
        </w:rPr>
        <w:t xml:space="preserve"> εκατ. από €</w:t>
      </w:r>
      <w:r w:rsidR="00C75AD3" w:rsidRPr="00C5484F">
        <w:rPr>
          <w:rFonts w:ascii="Ping LCG Regular" w:hAnsi="Ping LCG Regular" w:cs="Arial"/>
          <w:b/>
          <w:spacing w:val="-14"/>
          <w:sz w:val="22"/>
          <w:szCs w:val="22"/>
        </w:rPr>
        <w:t>427</w:t>
      </w:r>
      <w:r w:rsidR="00AE09BC" w:rsidRPr="00C5484F">
        <w:rPr>
          <w:rFonts w:ascii="Ping LCG Regular" w:hAnsi="Ping LCG Regular" w:cs="Arial"/>
          <w:b/>
          <w:spacing w:val="-14"/>
          <w:sz w:val="22"/>
          <w:szCs w:val="22"/>
        </w:rPr>
        <w:t xml:space="preserve"> </w:t>
      </w:r>
      <w:r w:rsidR="0022243B" w:rsidRPr="00C5484F">
        <w:rPr>
          <w:rFonts w:ascii="Ping LCG Regular" w:hAnsi="Ping LCG Regular" w:cs="Arial"/>
          <w:b/>
          <w:spacing w:val="-14"/>
          <w:sz w:val="22"/>
          <w:szCs w:val="22"/>
        </w:rPr>
        <w:t xml:space="preserve">εκατ.) σε σχέση με το </w:t>
      </w:r>
      <w:r w:rsidR="00C75AD3" w:rsidRPr="00C5484F">
        <w:rPr>
          <w:rFonts w:ascii="Ping LCG Regular" w:hAnsi="Ping LCG Regular" w:cs="Arial"/>
          <w:b/>
          <w:spacing w:val="-14"/>
          <w:sz w:val="22"/>
          <w:szCs w:val="22"/>
        </w:rPr>
        <w:t>εννεά</w:t>
      </w:r>
      <w:r w:rsidR="0022243B" w:rsidRPr="00C5484F">
        <w:rPr>
          <w:rFonts w:ascii="Ping LCG Regular" w:hAnsi="Ping LCG Regular" w:cs="Arial"/>
          <w:b/>
          <w:spacing w:val="-14"/>
          <w:sz w:val="22"/>
          <w:szCs w:val="22"/>
        </w:rPr>
        <w:t xml:space="preserve">μηνο 2022 στις δραστηριότητες του Δικτύου Διανομής, στα έργα ΑΠΕ και τη νέα μονάδα Φυσικού Αερίου  </w:t>
      </w:r>
    </w:p>
    <w:p w14:paraId="31C0D0F6" w14:textId="0C16CA2A" w:rsidR="00120220" w:rsidRPr="00C5484F" w:rsidRDefault="003174E7" w:rsidP="000A282E">
      <w:pPr>
        <w:pStyle w:val="ListParagraph"/>
        <w:numPr>
          <w:ilvl w:val="0"/>
          <w:numId w:val="1"/>
        </w:numPr>
        <w:spacing w:before="80" w:after="80"/>
        <w:ind w:left="357" w:hanging="357"/>
        <w:contextualSpacing w:val="0"/>
        <w:jc w:val="both"/>
        <w:rPr>
          <w:rFonts w:ascii="Ping LCG Regular" w:hAnsi="Ping LCG Regular" w:cs="Arial"/>
          <w:b/>
          <w:spacing w:val="-14"/>
          <w:sz w:val="22"/>
          <w:szCs w:val="22"/>
        </w:rPr>
      </w:pPr>
      <w:r w:rsidRPr="00C5484F">
        <w:rPr>
          <w:rFonts w:ascii="Ping LCG Regular" w:hAnsi="Ping LCG Regular" w:cs="Arial"/>
          <w:b/>
          <w:spacing w:val="-14"/>
          <w:sz w:val="22"/>
          <w:szCs w:val="22"/>
        </w:rPr>
        <w:t xml:space="preserve">~ </w:t>
      </w:r>
      <w:r w:rsidR="00806FC1" w:rsidRPr="00C5484F">
        <w:rPr>
          <w:rFonts w:ascii="Ping LCG Regular" w:hAnsi="Ping LCG Regular" w:cs="Arial"/>
          <w:b/>
          <w:spacing w:val="-14"/>
          <w:sz w:val="22"/>
          <w:szCs w:val="22"/>
        </w:rPr>
        <w:t>6</w:t>
      </w:r>
      <w:r w:rsidRPr="00C5484F">
        <w:rPr>
          <w:rFonts w:ascii="Ping LCG Regular" w:hAnsi="Ping LCG Regular" w:cs="Arial"/>
          <w:b/>
          <w:spacing w:val="-14"/>
          <w:sz w:val="22"/>
          <w:szCs w:val="22"/>
        </w:rPr>
        <w:t>70</w:t>
      </w:r>
      <w:r w:rsidR="00806FC1" w:rsidRPr="00C5484F">
        <w:rPr>
          <w:rFonts w:ascii="Ping LCG Regular" w:hAnsi="Ping LCG Regular" w:cs="Arial"/>
          <w:b/>
          <w:spacing w:val="-14"/>
          <w:sz w:val="22"/>
          <w:szCs w:val="22"/>
        </w:rPr>
        <w:t>MW έργων ΑΠΕ σε λειτουργία</w:t>
      </w:r>
      <w:r w:rsidR="00717E8A" w:rsidRPr="00C5484F">
        <w:rPr>
          <w:rFonts w:ascii="Ping LCG Regular" w:hAnsi="Ping LCG Regular" w:cs="Arial"/>
          <w:b/>
          <w:spacing w:val="-14"/>
          <w:sz w:val="22"/>
          <w:szCs w:val="22"/>
        </w:rPr>
        <w:t xml:space="preserve"> &amp; 1,3</w:t>
      </w:r>
      <w:r w:rsidR="00717E8A" w:rsidRPr="00C5484F">
        <w:rPr>
          <w:rFonts w:ascii="Ping LCG Regular" w:hAnsi="Ping LCG Regular" w:cs="Arial"/>
          <w:b/>
          <w:spacing w:val="-14"/>
          <w:sz w:val="22"/>
          <w:szCs w:val="22"/>
          <w:lang w:val="en-US"/>
        </w:rPr>
        <w:t>GW</w:t>
      </w:r>
      <w:r w:rsidR="00717E8A" w:rsidRPr="00C5484F">
        <w:rPr>
          <w:rFonts w:ascii="Ping LCG Regular" w:hAnsi="Ping LCG Regular" w:cs="Arial"/>
          <w:b/>
          <w:spacing w:val="-14"/>
          <w:sz w:val="22"/>
          <w:szCs w:val="22"/>
        </w:rPr>
        <w:t xml:space="preserve"> υπό κατασκευή</w:t>
      </w:r>
      <w:r w:rsidR="00152919" w:rsidRPr="00C5484F">
        <w:rPr>
          <w:rFonts w:ascii="Ping LCG Regular" w:hAnsi="Ping LCG Regular" w:cs="Arial"/>
          <w:b/>
          <w:spacing w:val="-14"/>
          <w:sz w:val="22"/>
          <w:szCs w:val="22"/>
        </w:rPr>
        <w:t xml:space="preserve"> </w:t>
      </w:r>
      <w:r w:rsidR="00EB0365" w:rsidRPr="00C5484F">
        <w:rPr>
          <w:rFonts w:ascii="Ping LCG Regular" w:hAnsi="Ping LCG Regular" w:cs="Arial"/>
          <w:b/>
          <w:spacing w:val="-14"/>
          <w:sz w:val="22"/>
          <w:szCs w:val="22"/>
        </w:rPr>
        <w:t>στην Ελλάδα</w:t>
      </w:r>
    </w:p>
    <w:p w14:paraId="585D6526" w14:textId="20FD4185" w:rsidR="00D466D9" w:rsidRPr="00C5484F" w:rsidRDefault="000A282E" w:rsidP="00D466D9">
      <w:pPr>
        <w:pStyle w:val="ListParagraph"/>
        <w:numPr>
          <w:ilvl w:val="0"/>
          <w:numId w:val="1"/>
        </w:numPr>
        <w:spacing w:before="80" w:after="80"/>
        <w:ind w:left="357" w:hanging="357"/>
        <w:contextualSpacing w:val="0"/>
        <w:jc w:val="both"/>
        <w:rPr>
          <w:rFonts w:ascii="Ping LCG Regular" w:hAnsi="Ping LCG Regular" w:cs="Arial"/>
          <w:b/>
          <w:spacing w:val="-14"/>
          <w:sz w:val="22"/>
          <w:szCs w:val="22"/>
        </w:rPr>
      </w:pPr>
      <w:r w:rsidRPr="00C5484F">
        <w:rPr>
          <w:rFonts w:ascii="Ping LCG Regular" w:hAnsi="Ping LCG Regular" w:cs="Arial"/>
          <w:b/>
          <w:spacing w:val="-14"/>
          <w:sz w:val="22"/>
          <w:szCs w:val="22"/>
        </w:rPr>
        <w:t xml:space="preserve">Ολοκλήρωση της εξαγοράς </w:t>
      </w:r>
      <w:r w:rsidR="009A4BA3" w:rsidRPr="00C5484F">
        <w:rPr>
          <w:rFonts w:ascii="Ping LCG Regular" w:hAnsi="Ping LCG Regular" w:cs="Arial"/>
          <w:b/>
          <w:spacing w:val="-14"/>
          <w:sz w:val="22"/>
          <w:szCs w:val="22"/>
        </w:rPr>
        <w:t xml:space="preserve">των δραστηριοτήτων της Enel στη Ρουμανία - </w:t>
      </w:r>
      <w:r w:rsidR="00D466D9" w:rsidRPr="00C5484F">
        <w:rPr>
          <w:rFonts w:ascii="Ping LCG Regular" w:hAnsi="Ping LCG Regular" w:cs="Arial"/>
          <w:b/>
          <w:spacing w:val="-14"/>
          <w:sz w:val="22"/>
          <w:szCs w:val="22"/>
        </w:rPr>
        <w:t>Η πρώτη σημαντική επέκταση στο εξωτερικό, ορόσημο για τη στρατηγική ανάπτυξης της ΔΕΗ</w:t>
      </w:r>
    </w:p>
    <w:p w14:paraId="51D57744" w14:textId="7B38B328" w:rsidR="009A4BA3" w:rsidRPr="00C5484F" w:rsidRDefault="009A4BA3" w:rsidP="000A282E">
      <w:pPr>
        <w:pStyle w:val="ListParagraph"/>
        <w:numPr>
          <w:ilvl w:val="0"/>
          <w:numId w:val="1"/>
        </w:numPr>
        <w:spacing w:before="80" w:after="80"/>
        <w:ind w:left="357" w:hanging="357"/>
        <w:contextualSpacing w:val="0"/>
        <w:jc w:val="both"/>
        <w:rPr>
          <w:rFonts w:ascii="Ping LCG Regular" w:hAnsi="Ping LCG Regular" w:cs="Arial"/>
          <w:b/>
          <w:spacing w:val="-14"/>
          <w:sz w:val="22"/>
          <w:szCs w:val="22"/>
        </w:rPr>
      </w:pPr>
      <w:r w:rsidRPr="00C5484F">
        <w:rPr>
          <w:rFonts w:ascii="Ping LCG Regular" w:hAnsi="Ping LCG Regular" w:cs="Arial"/>
          <w:b/>
          <w:spacing w:val="-14"/>
          <w:sz w:val="22"/>
          <w:szCs w:val="22"/>
        </w:rPr>
        <w:t xml:space="preserve">Συμφωνία </w:t>
      </w:r>
      <w:r w:rsidR="00D466D9" w:rsidRPr="00C5484F">
        <w:rPr>
          <w:rFonts w:ascii="Ping LCG Regular" w:hAnsi="Ping LCG Regular" w:cs="Arial"/>
          <w:b/>
          <w:spacing w:val="-14"/>
          <w:sz w:val="22"/>
          <w:szCs w:val="22"/>
        </w:rPr>
        <w:t xml:space="preserve">για την εξαγορά της Κωτσόβολος </w:t>
      </w:r>
      <w:r w:rsidR="00AD09CB" w:rsidRPr="00C5484F">
        <w:rPr>
          <w:rFonts w:ascii="Ping LCG Regular" w:hAnsi="Ping LCG Regular" w:cs="Arial"/>
          <w:b/>
          <w:spacing w:val="-14"/>
          <w:sz w:val="22"/>
          <w:szCs w:val="22"/>
        </w:rPr>
        <w:t>–</w:t>
      </w:r>
      <w:r w:rsidR="00D466D9" w:rsidRPr="00C5484F">
        <w:rPr>
          <w:rFonts w:ascii="Ping LCG Regular" w:hAnsi="Ping LCG Regular" w:cs="Arial"/>
          <w:b/>
          <w:spacing w:val="-14"/>
          <w:sz w:val="22"/>
          <w:szCs w:val="22"/>
        </w:rPr>
        <w:t xml:space="preserve"> </w:t>
      </w:r>
      <w:r w:rsidR="00AD09CB" w:rsidRPr="00C5484F">
        <w:rPr>
          <w:rFonts w:ascii="Ping LCG Regular" w:hAnsi="Ping LCG Regular" w:cs="Arial"/>
          <w:b/>
          <w:spacing w:val="-14"/>
          <w:sz w:val="22"/>
          <w:szCs w:val="22"/>
        </w:rPr>
        <w:t xml:space="preserve">Μετασχηματισμός της ΔΕΗ σε ολοκληρωμένο </w:t>
      </w:r>
      <w:r w:rsidR="00441016" w:rsidRPr="00C5484F">
        <w:rPr>
          <w:rFonts w:ascii="Ping LCG Regular" w:hAnsi="Ping LCG Regular" w:cs="Arial"/>
          <w:b/>
          <w:spacing w:val="-14"/>
          <w:sz w:val="22"/>
          <w:szCs w:val="22"/>
        </w:rPr>
        <w:t xml:space="preserve">πάροχο </w:t>
      </w:r>
      <w:r w:rsidR="00AD09CB" w:rsidRPr="00C5484F">
        <w:rPr>
          <w:rFonts w:ascii="Ping LCG Regular" w:hAnsi="Ping LCG Regular" w:cs="Arial"/>
          <w:b/>
          <w:spacing w:val="-14"/>
          <w:sz w:val="22"/>
          <w:szCs w:val="22"/>
        </w:rPr>
        <w:t>προϊόντων και υπηρεσιών</w:t>
      </w:r>
      <w:r w:rsidR="00441016" w:rsidRPr="00C5484F">
        <w:rPr>
          <w:rFonts w:ascii="Ping LCG Regular" w:hAnsi="Ping LCG Regular" w:cs="Arial"/>
          <w:b/>
          <w:spacing w:val="-14"/>
          <w:sz w:val="22"/>
          <w:szCs w:val="22"/>
        </w:rPr>
        <w:t xml:space="preserve"> &amp; επιτάχυνση του πελατοκεντρικού μετασχηματισμού </w:t>
      </w:r>
    </w:p>
    <w:p w14:paraId="388D29F7" w14:textId="5F6C60BE" w:rsidR="00087DA6" w:rsidRPr="00821F3C" w:rsidRDefault="00087DA6" w:rsidP="007D0030">
      <w:pPr>
        <w:pStyle w:val="ListParagraph"/>
        <w:spacing w:before="80" w:after="80"/>
        <w:ind w:left="357"/>
        <w:contextualSpacing w:val="0"/>
        <w:jc w:val="both"/>
        <w:rPr>
          <w:rFonts w:ascii="Ping LCG Regular" w:hAnsi="Ping LCG Regular" w:cs="Arial"/>
          <w:b/>
          <w:spacing w:val="-14"/>
          <w:sz w:val="22"/>
          <w:szCs w:val="22"/>
        </w:rPr>
      </w:pPr>
    </w:p>
    <w:bookmarkEnd w:id="1"/>
    <w:bookmarkEnd w:id="2"/>
    <w:p w14:paraId="7637FC83" w14:textId="77777777" w:rsidR="009A775B" w:rsidRPr="00C574ED" w:rsidRDefault="009A775B" w:rsidP="0025244D">
      <w:pPr>
        <w:pStyle w:val="ListParagraph"/>
        <w:spacing w:before="80" w:after="80"/>
        <w:ind w:left="357"/>
        <w:contextualSpacing w:val="0"/>
        <w:jc w:val="both"/>
        <w:rPr>
          <w:rFonts w:ascii="Ping LCG Regular" w:eastAsiaTheme="minorHAnsi" w:hAnsi="Ping LCG Regular" w:cs="Arial"/>
          <w:b/>
          <w:color w:val="FF0000"/>
          <w:spacing w:val="-14"/>
          <w:sz w:val="22"/>
          <w:szCs w:val="22"/>
          <w:highlight w:val="yellow"/>
          <w:lang w:eastAsia="en-US"/>
        </w:rPr>
      </w:pPr>
    </w:p>
    <w:p w14:paraId="518BF6C1" w14:textId="77777777" w:rsidR="00824F89" w:rsidRDefault="00A249A6" w:rsidP="0025244D">
      <w:pPr>
        <w:spacing w:line="276" w:lineRule="auto"/>
        <w:jc w:val="both"/>
        <w:rPr>
          <w:rFonts w:ascii="Ping LCG Regular" w:hAnsi="Ping LCG Regular" w:cs="Arial"/>
          <w:b/>
          <w:spacing w:val="-14"/>
          <w:sz w:val="22"/>
          <w:szCs w:val="22"/>
          <w:u w:val="single"/>
          <w:lang w:val="el-GR"/>
        </w:rPr>
      </w:pPr>
      <w:r w:rsidRPr="00C574ED">
        <w:rPr>
          <w:rFonts w:ascii="Ping LCG Regular" w:hAnsi="Ping LCG Regular" w:cs="Arial"/>
          <w:b/>
          <w:spacing w:val="-14"/>
          <w:sz w:val="22"/>
          <w:szCs w:val="22"/>
          <w:u w:val="single"/>
          <w:lang w:val="el-GR"/>
        </w:rPr>
        <w:t>Συνοπτικά Οικονομικά Αποτελέσματα Ομίλου</w:t>
      </w:r>
      <w:r w:rsidR="00F1032A" w:rsidRPr="00C574ED">
        <w:rPr>
          <w:rFonts w:ascii="Ping LCG Regular" w:hAnsi="Ping LCG Regular" w:cs="Arial"/>
          <w:b/>
          <w:spacing w:val="-14"/>
          <w:sz w:val="22"/>
          <w:szCs w:val="22"/>
          <w:u w:val="single"/>
          <w:lang w:val="el-GR"/>
        </w:rPr>
        <w:t xml:space="preserve"> </w:t>
      </w:r>
    </w:p>
    <w:p w14:paraId="68C896F6" w14:textId="1E323BB9" w:rsidR="00B54E47" w:rsidRPr="00DA57B3" w:rsidRDefault="00936DB9" w:rsidP="0025244D">
      <w:pPr>
        <w:spacing w:line="276" w:lineRule="auto"/>
        <w:jc w:val="both"/>
        <w:rPr>
          <w:rFonts w:ascii="Ping LCG Regular" w:hAnsi="Ping LCG Regular" w:cs="Arial"/>
          <w:bCs/>
          <w:i/>
          <w:iCs/>
          <w:spacing w:val="-14"/>
          <w:sz w:val="20"/>
          <w:szCs w:val="22"/>
          <w:lang w:val="el-GR"/>
        </w:rPr>
      </w:pPr>
      <w:r w:rsidRPr="00936DB9">
        <w:rPr>
          <w:rFonts w:ascii="Ping LCG Regular" w:hAnsi="Ping LCG Regular" w:cs="Arial"/>
          <w:bCs/>
          <w:i/>
          <w:iCs/>
          <w:spacing w:val="-14"/>
          <w:sz w:val="20"/>
          <w:szCs w:val="22"/>
          <w:lang w:val="el-GR"/>
        </w:rPr>
        <w:t xml:space="preserve"> </w:t>
      </w:r>
    </w:p>
    <w:p w14:paraId="7B3A10F5" w14:textId="46541547" w:rsidR="009B7546" w:rsidRPr="000B7994" w:rsidRDefault="000B7994" w:rsidP="0025244D">
      <w:pPr>
        <w:jc w:val="both"/>
        <w:rPr>
          <w:rFonts w:ascii="Ping LCG Regular" w:hAnsi="Ping LCG Regular" w:cs="Arial"/>
          <w:bCs/>
          <w:spacing w:val="-14"/>
          <w:sz w:val="18"/>
          <w:szCs w:val="18"/>
          <w:lang w:val="el-GR"/>
        </w:rPr>
      </w:pPr>
      <w:r w:rsidRPr="000B7994">
        <w:rPr>
          <w:noProof/>
          <w:lang w:val="el-GR" w:eastAsia="el-GR"/>
        </w:rPr>
        <w:drawing>
          <wp:inline distT="0" distB="0" distL="0" distR="0" wp14:anchorId="56522442" wp14:editId="285CBC3D">
            <wp:extent cx="6210935" cy="3107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3107055"/>
                    </a:xfrm>
                    <a:prstGeom prst="rect">
                      <a:avLst/>
                    </a:prstGeom>
                    <a:noFill/>
                    <a:ln>
                      <a:noFill/>
                    </a:ln>
                  </pic:spPr>
                </pic:pic>
              </a:graphicData>
            </a:graphic>
          </wp:inline>
        </w:drawing>
      </w:r>
    </w:p>
    <w:p w14:paraId="0D21F7AA" w14:textId="77777777" w:rsidR="001B0876" w:rsidRPr="000C542B" w:rsidRDefault="001B0876" w:rsidP="0025244D">
      <w:pPr>
        <w:jc w:val="both"/>
        <w:rPr>
          <w:rFonts w:ascii="Ping LCG Regular" w:hAnsi="Ping LCG Regular" w:cs="Arial"/>
          <w:bCs/>
          <w:spacing w:val="-14"/>
          <w:sz w:val="18"/>
          <w:szCs w:val="18"/>
          <w:lang w:val="el-GR"/>
        </w:rPr>
      </w:pPr>
    </w:p>
    <w:p w14:paraId="0BB9AC40" w14:textId="77777777" w:rsidR="006F26DB" w:rsidRPr="006F26DB" w:rsidRDefault="006F26DB" w:rsidP="006F26DB">
      <w:pPr>
        <w:jc w:val="both"/>
        <w:rPr>
          <w:rFonts w:ascii="Ping LCG Regular" w:hAnsi="Ping LCG Regular" w:cs="Arial"/>
          <w:bCs/>
          <w:spacing w:val="-14"/>
          <w:sz w:val="18"/>
          <w:szCs w:val="18"/>
          <w:lang w:val="el-GR"/>
        </w:rPr>
      </w:pPr>
      <w:r w:rsidRPr="006F26DB">
        <w:rPr>
          <w:rFonts w:ascii="Ping LCG Regular" w:hAnsi="Ping LCG Regular" w:cs="Arial"/>
          <w:bCs/>
          <w:spacing w:val="-14"/>
          <w:sz w:val="18"/>
          <w:szCs w:val="18"/>
          <w:lang w:val="el-GR"/>
        </w:rPr>
        <w:t>Για περισσότερες πληροφορίες σχετικά με τους ορισμούς δεικτών που περιλαμβάνονται στα παραπάνω μεγέθη, μπορείτε να ανατρέξετε στο Παράρτημα ΙΙ: Ορισμοί και συμφωνία των Εναλλακτικών Δεικτών Μέτρησης Απόδοσης - “ΕΔΜΑ”.</w:t>
      </w:r>
    </w:p>
    <w:p w14:paraId="45CC7009" w14:textId="6D11CCDE" w:rsidR="00E560F3" w:rsidRPr="00B12DFE" w:rsidRDefault="006F26DB" w:rsidP="006F26DB">
      <w:pPr>
        <w:jc w:val="both"/>
        <w:rPr>
          <w:rFonts w:ascii="Ping LCG Regular" w:hAnsi="Ping LCG Regular" w:cs="Arial"/>
          <w:b/>
          <w:spacing w:val="-14"/>
          <w:sz w:val="22"/>
          <w:szCs w:val="22"/>
          <w:u w:val="single"/>
          <w:lang w:val="el-GR"/>
        </w:rPr>
      </w:pPr>
      <w:r w:rsidRPr="006F26DB">
        <w:rPr>
          <w:rFonts w:ascii="Ping LCG Regular" w:hAnsi="Ping LCG Regular" w:cs="Arial"/>
          <w:bCs/>
          <w:spacing w:val="-14"/>
          <w:sz w:val="18"/>
          <w:szCs w:val="18"/>
          <w:lang w:val="el-GR"/>
        </w:rPr>
        <w:t xml:space="preserve"> </w:t>
      </w:r>
      <w:r w:rsidR="002A450B">
        <w:rPr>
          <w:rFonts w:ascii="Ping LCG Regular" w:hAnsi="Ping LCG Regular" w:cs="Arial"/>
          <w:b/>
          <w:spacing w:val="-14"/>
          <w:szCs w:val="28"/>
          <w:highlight w:val="yellow"/>
          <w:lang w:val="el-GR"/>
        </w:rPr>
        <w:br w:type="page"/>
      </w:r>
      <w:r w:rsidR="00E560F3" w:rsidRPr="00B12DFE">
        <w:rPr>
          <w:rFonts w:ascii="Ping LCG Regular" w:hAnsi="Ping LCG Regular" w:cs="Arial"/>
          <w:b/>
          <w:spacing w:val="-14"/>
          <w:sz w:val="22"/>
          <w:szCs w:val="22"/>
          <w:u w:val="single"/>
          <w:lang w:val="el-GR"/>
        </w:rPr>
        <w:lastRenderedPageBreak/>
        <w:t>Εξέλιξη Βασικών Μεγεθών</w:t>
      </w:r>
      <w:r w:rsidR="003F055C" w:rsidRPr="00B12DFE">
        <w:rPr>
          <w:rFonts w:ascii="Ping LCG Regular" w:hAnsi="Ping LCG Regular" w:cs="Arial"/>
          <w:b/>
          <w:spacing w:val="-14"/>
          <w:sz w:val="22"/>
          <w:szCs w:val="22"/>
          <w:u w:val="single"/>
          <w:lang w:val="el-GR"/>
        </w:rPr>
        <w:t xml:space="preserve"> Ομίλου</w:t>
      </w:r>
      <w:r w:rsidR="0090266A" w:rsidRPr="00B12DFE">
        <w:rPr>
          <w:rFonts w:ascii="Ping LCG Regular" w:hAnsi="Ping LCG Regular" w:cs="Arial"/>
          <w:b/>
          <w:spacing w:val="-14"/>
          <w:sz w:val="22"/>
          <w:szCs w:val="22"/>
          <w:u w:val="single"/>
          <w:lang w:val="el-GR"/>
        </w:rPr>
        <w:t xml:space="preserve"> (€ εκατ.)</w:t>
      </w:r>
      <w:r w:rsidR="00B05E93" w:rsidRPr="00B12DFE">
        <w:rPr>
          <w:rFonts w:ascii="Ping LCG Regular" w:hAnsi="Ping LCG Regular" w:cs="Arial"/>
          <w:b/>
          <w:spacing w:val="-14"/>
          <w:sz w:val="22"/>
          <w:szCs w:val="22"/>
          <w:u w:val="single"/>
          <w:lang w:val="el-GR"/>
        </w:rPr>
        <w:t xml:space="preserve"> </w:t>
      </w:r>
    </w:p>
    <w:p w14:paraId="27EDCFD9" w14:textId="0A778EF8" w:rsidR="00F129F8" w:rsidRPr="00B12DFE" w:rsidRDefault="00F129F8" w:rsidP="0025244D">
      <w:pPr>
        <w:jc w:val="both"/>
        <w:rPr>
          <w:rFonts w:ascii="Ping LCG Regular" w:hAnsi="Ping LCG Regular" w:cs="Arial"/>
          <w:b/>
          <w:spacing w:val="-14"/>
          <w:sz w:val="22"/>
          <w:szCs w:val="22"/>
          <w:lang w:val="el-GR"/>
        </w:rPr>
      </w:pPr>
    </w:p>
    <w:p w14:paraId="4112272C" w14:textId="02174C1B" w:rsidR="008C141D" w:rsidRPr="000A0899" w:rsidRDefault="00744871" w:rsidP="0025244D">
      <w:pPr>
        <w:jc w:val="both"/>
        <w:rPr>
          <w:rFonts w:ascii="Ping LCG Regular" w:hAnsi="Ping LCG Regular" w:cs="Arial"/>
          <w:b/>
          <w:spacing w:val="-14"/>
          <w:szCs w:val="28"/>
          <w:lang w:val="el-GR"/>
        </w:rPr>
      </w:pPr>
      <w:r>
        <w:rPr>
          <w:rFonts w:ascii="Ping LCG Regular" w:hAnsi="Ping LCG Regular" w:cs="Arial"/>
          <w:b/>
          <w:noProof/>
          <w:spacing w:val="-14"/>
          <w:szCs w:val="28"/>
          <w:lang w:val="el-GR" w:eastAsia="el-GR"/>
        </w:rPr>
        <w:drawing>
          <wp:inline distT="0" distB="0" distL="0" distR="0" wp14:anchorId="32221507" wp14:editId="5F91458A">
            <wp:extent cx="6301041" cy="1465243"/>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0775" cy="1472157"/>
                    </a:xfrm>
                    <a:prstGeom prst="rect">
                      <a:avLst/>
                    </a:prstGeom>
                    <a:noFill/>
                  </pic:spPr>
                </pic:pic>
              </a:graphicData>
            </a:graphic>
          </wp:inline>
        </w:drawing>
      </w:r>
    </w:p>
    <w:p w14:paraId="48F9D178" w14:textId="2C6FEDF0" w:rsidR="0006402D" w:rsidRPr="000A0899" w:rsidRDefault="0006402D" w:rsidP="0025244D">
      <w:pPr>
        <w:jc w:val="both"/>
        <w:rPr>
          <w:rFonts w:ascii="Ping LCG Regular" w:hAnsi="Ping LCG Regular" w:cs="Arial"/>
          <w:b/>
          <w:spacing w:val="-14"/>
          <w:szCs w:val="28"/>
          <w:lang w:val="el-GR"/>
        </w:rPr>
      </w:pPr>
    </w:p>
    <w:p w14:paraId="2B81C35B" w14:textId="5BEB278F" w:rsidR="0038307E" w:rsidRPr="00C574ED" w:rsidRDefault="0038307E" w:rsidP="0025244D">
      <w:pPr>
        <w:jc w:val="both"/>
        <w:rPr>
          <w:rFonts w:ascii="Ping LCG Regular" w:hAnsi="Ping LCG Regular" w:cs="Arial"/>
          <w:b/>
          <w:bCs/>
          <w:spacing w:val="-14"/>
          <w:sz w:val="22"/>
          <w:szCs w:val="22"/>
          <w:u w:val="single"/>
          <w:lang w:val="el-GR"/>
        </w:rPr>
      </w:pPr>
      <w:r w:rsidRPr="00C574ED">
        <w:rPr>
          <w:rFonts w:ascii="Ping LCG Regular" w:hAnsi="Ping LCG Regular" w:cs="Arial"/>
          <w:b/>
          <w:bCs/>
          <w:spacing w:val="-14"/>
          <w:sz w:val="22"/>
          <w:szCs w:val="22"/>
          <w:u w:val="single"/>
          <w:lang w:val="el-GR"/>
        </w:rPr>
        <w:t>Εξέλιξη κερδοφορίας</w:t>
      </w:r>
    </w:p>
    <w:p w14:paraId="698B25CF" w14:textId="77777777" w:rsidR="00A150AC" w:rsidRPr="008C48AC" w:rsidRDefault="00A150AC" w:rsidP="0025244D">
      <w:pPr>
        <w:jc w:val="both"/>
        <w:rPr>
          <w:rFonts w:ascii="Ping LCG Regular" w:hAnsi="Ping LCG Regular" w:cs="Arial"/>
          <w:spacing w:val="-14"/>
          <w:sz w:val="22"/>
          <w:szCs w:val="22"/>
          <w:highlight w:val="yellow"/>
          <w:lang w:val="el-GR"/>
        </w:rPr>
      </w:pPr>
    </w:p>
    <w:p w14:paraId="2114DE85" w14:textId="20E26F27" w:rsidR="00790A5C" w:rsidRDefault="00790A5C" w:rsidP="0025244D">
      <w:pPr>
        <w:jc w:val="both"/>
        <w:rPr>
          <w:rFonts w:ascii="Ping LCG Regular" w:hAnsi="Ping LCG Regular" w:cs="Arial"/>
          <w:spacing w:val="-14"/>
          <w:sz w:val="22"/>
          <w:szCs w:val="22"/>
          <w:lang w:val="el-GR"/>
        </w:rPr>
      </w:pPr>
      <w:r w:rsidRPr="00790A5C">
        <w:rPr>
          <w:rFonts w:ascii="Ping LCG Regular" w:hAnsi="Ping LCG Regular" w:cs="Arial"/>
          <w:spacing w:val="-14"/>
          <w:sz w:val="22"/>
          <w:szCs w:val="22"/>
          <w:lang w:val="el-GR"/>
        </w:rPr>
        <w:t xml:space="preserve">Αυξημένη λειτουργική κερδοφορία για το </w:t>
      </w:r>
      <w:r w:rsidR="00370F54">
        <w:rPr>
          <w:rFonts w:ascii="Ping LCG Regular" w:hAnsi="Ping LCG Regular" w:cs="Arial"/>
          <w:spacing w:val="-14"/>
          <w:sz w:val="22"/>
          <w:szCs w:val="22"/>
          <w:lang w:val="el-GR"/>
        </w:rPr>
        <w:t>εννε</w:t>
      </w:r>
      <w:r>
        <w:rPr>
          <w:rFonts w:ascii="Ping LCG Regular" w:hAnsi="Ping LCG Regular" w:cs="Arial"/>
          <w:spacing w:val="-14"/>
          <w:sz w:val="22"/>
          <w:szCs w:val="22"/>
          <w:lang w:val="el-GR"/>
        </w:rPr>
        <w:t>ά</w:t>
      </w:r>
      <w:r w:rsidRPr="00790A5C">
        <w:rPr>
          <w:rFonts w:ascii="Ping LCG Regular" w:hAnsi="Ping LCG Regular" w:cs="Arial"/>
          <w:spacing w:val="-14"/>
          <w:sz w:val="22"/>
          <w:szCs w:val="22"/>
          <w:lang w:val="el-GR"/>
        </w:rPr>
        <w:t>μηνο 2023, λόγω της μείωσης των λειτουργικών δαπανών, και κυρίως των δαπανών για αγορές ενέργειας, φυσικό αέριο και εκπομπές CO</w:t>
      </w:r>
      <w:r w:rsidRPr="0033244F">
        <w:rPr>
          <w:rFonts w:ascii="Ping LCG Regular" w:hAnsi="Ping LCG Regular" w:cs="Arial"/>
          <w:spacing w:val="-14"/>
          <w:sz w:val="22"/>
          <w:szCs w:val="22"/>
          <w:vertAlign w:val="subscript"/>
          <w:lang w:val="el-GR"/>
        </w:rPr>
        <w:t>2</w:t>
      </w:r>
      <w:r w:rsidRPr="00790A5C">
        <w:rPr>
          <w:rFonts w:ascii="Ping LCG Regular" w:hAnsi="Ping LCG Regular" w:cs="Arial"/>
          <w:spacing w:val="-14"/>
          <w:sz w:val="22"/>
          <w:szCs w:val="22"/>
          <w:lang w:val="el-GR"/>
        </w:rPr>
        <w:t>. Συγκεκριμένα, τα κέρδη προ τόκων, φόρων και αποσβέσεων (EBITDA) σε επαναλαμβανόμενη βάση διαμορφώθηκαν σε €</w:t>
      </w:r>
      <w:r w:rsidR="00603B87" w:rsidRPr="00603B87">
        <w:rPr>
          <w:rFonts w:ascii="Ping LCG Regular" w:hAnsi="Ping LCG Regular" w:cs="Arial"/>
          <w:spacing w:val="-14"/>
          <w:sz w:val="22"/>
          <w:szCs w:val="22"/>
          <w:lang w:val="el-GR"/>
        </w:rPr>
        <w:t>9</w:t>
      </w:r>
      <w:r w:rsidR="00D345D2" w:rsidRPr="00D345D2">
        <w:rPr>
          <w:rFonts w:ascii="Ping LCG Regular" w:hAnsi="Ping LCG Regular" w:cs="Arial"/>
          <w:spacing w:val="-14"/>
          <w:sz w:val="22"/>
          <w:szCs w:val="22"/>
          <w:lang w:val="el-GR"/>
        </w:rPr>
        <w:t>36</w:t>
      </w:r>
      <w:r w:rsidR="00F0637A" w:rsidRPr="00F0637A">
        <w:rPr>
          <w:rFonts w:ascii="Ping LCG Regular" w:hAnsi="Ping LCG Regular" w:cs="Arial"/>
          <w:spacing w:val="-14"/>
          <w:sz w:val="22"/>
          <w:szCs w:val="22"/>
          <w:lang w:val="el-GR"/>
        </w:rPr>
        <w:t>,8</w:t>
      </w:r>
      <w:r w:rsidRPr="00790A5C">
        <w:rPr>
          <w:rFonts w:ascii="Ping LCG Regular" w:hAnsi="Ping LCG Regular" w:cs="Arial"/>
          <w:spacing w:val="-14"/>
          <w:sz w:val="22"/>
          <w:szCs w:val="22"/>
          <w:lang w:val="el-GR"/>
        </w:rPr>
        <w:t xml:space="preserve"> εκατ., αυξημένα κατά €</w:t>
      </w:r>
      <w:r w:rsidR="00A41505" w:rsidRPr="000E7E79">
        <w:rPr>
          <w:rFonts w:ascii="Ping LCG Regular" w:hAnsi="Ping LCG Regular" w:cs="Arial"/>
          <w:spacing w:val="-14"/>
          <w:sz w:val="22"/>
          <w:szCs w:val="22"/>
          <w:lang w:val="el-GR"/>
        </w:rPr>
        <w:t>292,6</w:t>
      </w:r>
      <w:r w:rsidR="009F07AA" w:rsidRPr="00821F3C">
        <w:rPr>
          <w:rFonts w:ascii="Ping LCG Regular" w:hAnsi="Ping LCG Regular" w:cs="Arial"/>
          <w:spacing w:val="-14"/>
          <w:sz w:val="22"/>
          <w:szCs w:val="22"/>
          <w:lang w:val="el-GR"/>
        </w:rPr>
        <w:t xml:space="preserve"> </w:t>
      </w:r>
      <w:r w:rsidRPr="00790A5C">
        <w:rPr>
          <w:rFonts w:ascii="Ping LCG Regular" w:hAnsi="Ping LCG Regular" w:cs="Arial"/>
          <w:spacing w:val="-14"/>
          <w:sz w:val="22"/>
          <w:szCs w:val="22"/>
          <w:lang w:val="el-GR"/>
        </w:rPr>
        <w:t>εκατ. (</w:t>
      </w:r>
      <w:r w:rsidR="00982636" w:rsidRPr="00EB3748">
        <w:rPr>
          <w:rFonts w:ascii="Ping LCG Regular" w:hAnsi="Ping LCG Regular" w:cs="Arial"/>
          <w:spacing w:val="-14"/>
          <w:sz w:val="22"/>
          <w:szCs w:val="22"/>
          <w:lang w:val="el-GR"/>
        </w:rPr>
        <w:t>4</w:t>
      </w:r>
      <w:r w:rsidR="000E7E79" w:rsidRPr="000E7E79">
        <w:rPr>
          <w:rFonts w:ascii="Ping LCG Regular" w:hAnsi="Ping LCG Regular" w:cs="Arial"/>
          <w:spacing w:val="-14"/>
          <w:sz w:val="22"/>
          <w:szCs w:val="22"/>
          <w:lang w:val="el-GR"/>
        </w:rPr>
        <w:t>5</w:t>
      </w:r>
      <w:r w:rsidR="00982636" w:rsidRPr="00EB3748">
        <w:rPr>
          <w:rFonts w:ascii="Ping LCG Regular" w:hAnsi="Ping LCG Regular" w:cs="Arial"/>
          <w:spacing w:val="-14"/>
          <w:sz w:val="22"/>
          <w:szCs w:val="22"/>
          <w:lang w:val="el-GR"/>
        </w:rPr>
        <w:t>,</w:t>
      </w:r>
      <w:r w:rsidR="000E7E79" w:rsidRPr="000E7E79">
        <w:rPr>
          <w:rFonts w:ascii="Ping LCG Regular" w:hAnsi="Ping LCG Regular" w:cs="Arial"/>
          <w:spacing w:val="-14"/>
          <w:sz w:val="22"/>
          <w:szCs w:val="22"/>
          <w:lang w:val="el-GR"/>
        </w:rPr>
        <w:t>4%</w:t>
      </w:r>
      <w:r w:rsidRPr="00790A5C">
        <w:rPr>
          <w:rFonts w:ascii="Ping LCG Regular" w:hAnsi="Ping LCG Regular" w:cs="Arial"/>
          <w:spacing w:val="-14"/>
          <w:sz w:val="22"/>
          <w:szCs w:val="22"/>
          <w:lang w:val="el-GR"/>
        </w:rPr>
        <w:t xml:space="preserve">) σε σχέση με την αντίστοιχη περίοδο του 2022. </w:t>
      </w:r>
    </w:p>
    <w:p w14:paraId="7EAFFB68" w14:textId="0A597EE3" w:rsidR="00E14DF1" w:rsidRPr="004B1D10" w:rsidRDefault="00E14DF1" w:rsidP="0025244D">
      <w:pPr>
        <w:jc w:val="both"/>
        <w:rPr>
          <w:rFonts w:ascii="Ping LCG Regular" w:hAnsi="Ping LCG Regular" w:cs="Arial"/>
          <w:spacing w:val="-14"/>
          <w:sz w:val="22"/>
          <w:szCs w:val="22"/>
          <w:lang w:val="el-GR"/>
        </w:rPr>
      </w:pPr>
      <w:r w:rsidRPr="004B1D10">
        <w:rPr>
          <w:rFonts w:ascii="Ping LCG Regular" w:hAnsi="Ping LCG Regular" w:cs="Arial"/>
          <w:spacing w:val="-14"/>
          <w:sz w:val="22"/>
          <w:szCs w:val="22"/>
          <w:lang w:val="el-GR"/>
        </w:rPr>
        <w:t xml:space="preserve">Ειδικότερα για το </w:t>
      </w:r>
      <w:r w:rsidR="009A3F46">
        <w:rPr>
          <w:rFonts w:ascii="Ping LCG Regular" w:hAnsi="Ping LCG Regular" w:cs="Arial"/>
          <w:spacing w:val="-14"/>
          <w:sz w:val="22"/>
          <w:szCs w:val="22"/>
          <w:lang w:val="el-GR"/>
        </w:rPr>
        <w:t>γ</w:t>
      </w:r>
      <w:r w:rsidRPr="004B1D10">
        <w:rPr>
          <w:rFonts w:ascii="Ping LCG Regular" w:hAnsi="Ping LCG Regular" w:cs="Arial"/>
          <w:spacing w:val="-14"/>
          <w:sz w:val="22"/>
          <w:szCs w:val="22"/>
          <w:lang w:val="el-GR"/>
        </w:rPr>
        <w:t>΄ τρίμηνο του 202</w:t>
      </w:r>
      <w:r>
        <w:rPr>
          <w:rFonts w:ascii="Ping LCG Regular" w:hAnsi="Ping LCG Regular" w:cs="Arial"/>
          <w:spacing w:val="-14"/>
          <w:sz w:val="22"/>
          <w:szCs w:val="22"/>
          <w:lang w:val="el-GR"/>
        </w:rPr>
        <w:t>3</w:t>
      </w:r>
      <w:r w:rsidRPr="004B1D10">
        <w:rPr>
          <w:rFonts w:ascii="Ping LCG Regular" w:hAnsi="Ping LCG Regular" w:cs="Arial"/>
          <w:spacing w:val="-14"/>
          <w:sz w:val="22"/>
          <w:szCs w:val="22"/>
          <w:lang w:val="el-GR"/>
        </w:rPr>
        <w:t>, το EBITDA σε επαναλαμβανόμενη βάση διαμορφώθηκε σε €</w:t>
      </w:r>
      <w:r w:rsidR="00EB3748" w:rsidRPr="00EB3748">
        <w:rPr>
          <w:rFonts w:ascii="Ping LCG Regular" w:hAnsi="Ping LCG Regular" w:cs="Arial"/>
          <w:spacing w:val="-14"/>
          <w:sz w:val="22"/>
          <w:szCs w:val="22"/>
          <w:lang w:val="el-GR"/>
        </w:rPr>
        <w:t>3</w:t>
      </w:r>
      <w:r w:rsidR="000E7E79" w:rsidRPr="000E7E79">
        <w:rPr>
          <w:rFonts w:ascii="Ping LCG Regular" w:hAnsi="Ping LCG Regular" w:cs="Arial"/>
          <w:spacing w:val="-14"/>
          <w:sz w:val="22"/>
          <w:szCs w:val="22"/>
          <w:lang w:val="el-GR"/>
        </w:rPr>
        <w:t>47</w:t>
      </w:r>
      <w:r w:rsidR="00EB3748" w:rsidRPr="00EB3748">
        <w:rPr>
          <w:rFonts w:ascii="Ping LCG Regular" w:hAnsi="Ping LCG Regular" w:cs="Arial"/>
          <w:spacing w:val="-14"/>
          <w:sz w:val="22"/>
          <w:szCs w:val="22"/>
          <w:lang w:val="el-GR"/>
        </w:rPr>
        <w:t>,</w:t>
      </w:r>
      <w:r w:rsidR="000E7E79" w:rsidRPr="000E7E79">
        <w:rPr>
          <w:rFonts w:ascii="Ping LCG Regular" w:hAnsi="Ping LCG Regular" w:cs="Arial"/>
          <w:spacing w:val="-14"/>
          <w:sz w:val="22"/>
          <w:szCs w:val="22"/>
          <w:lang w:val="el-GR"/>
        </w:rPr>
        <w:t>1</w:t>
      </w:r>
      <w:r w:rsidRPr="004B1D10">
        <w:rPr>
          <w:rFonts w:ascii="Ping LCG Regular" w:hAnsi="Ping LCG Regular" w:cs="Arial"/>
          <w:spacing w:val="-14"/>
          <w:sz w:val="22"/>
          <w:szCs w:val="22"/>
          <w:lang w:val="el-GR"/>
        </w:rPr>
        <w:t xml:space="preserve"> εκατ. έναντι €2</w:t>
      </w:r>
      <w:r w:rsidR="009919C6">
        <w:rPr>
          <w:rFonts w:ascii="Ping LCG Regular" w:hAnsi="Ping LCG Regular" w:cs="Arial"/>
          <w:spacing w:val="-14"/>
          <w:sz w:val="22"/>
          <w:szCs w:val="22"/>
          <w:lang w:val="el-GR"/>
        </w:rPr>
        <w:t>15</w:t>
      </w:r>
      <w:r w:rsidRPr="004B1D10">
        <w:rPr>
          <w:rFonts w:ascii="Ping LCG Regular" w:hAnsi="Ping LCG Regular" w:cs="Arial"/>
          <w:spacing w:val="-14"/>
          <w:sz w:val="22"/>
          <w:szCs w:val="22"/>
          <w:lang w:val="el-GR"/>
        </w:rPr>
        <w:t xml:space="preserve"> εκατ. το αντίστοιχο τρίμηνο του 202</w:t>
      </w:r>
      <w:r w:rsidR="004F4A1D">
        <w:rPr>
          <w:rFonts w:ascii="Ping LCG Regular" w:hAnsi="Ping LCG Regular" w:cs="Arial"/>
          <w:spacing w:val="-14"/>
          <w:sz w:val="22"/>
          <w:szCs w:val="22"/>
          <w:lang w:val="el-GR"/>
        </w:rPr>
        <w:t>2</w:t>
      </w:r>
      <w:r w:rsidRPr="004B1D10">
        <w:rPr>
          <w:rFonts w:ascii="Ping LCG Regular" w:hAnsi="Ping LCG Regular" w:cs="Arial"/>
          <w:spacing w:val="-14"/>
          <w:sz w:val="22"/>
          <w:szCs w:val="22"/>
          <w:lang w:val="el-GR"/>
        </w:rPr>
        <w:t>.</w:t>
      </w:r>
    </w:p>
    <w:p w14:paraId="3D1C387E" w14:textId="77777777" w:rsidR="00E14DF1" w:rsidRPr="009F1ABB" w:rsidRDefault="00E14DF1" w:rsidP="0025244D">
      <w:pPr>
        <w:jc w:val="both"/>
        <w:rPr>
          <w:rFonts w:ascii="Ping LCG Regular" w:hAnsi="Ping LCG Regular" w:cs="Arial"/>
          <w:spacing w:val="-14"/>
          <w:sz w:val="22"/>
          <w:szCs w:val="22"/>
          <w:lang w:val="el-GR"/>
        </w:rPr>
      </w:pPr>
    </w:p>
    <w:p w14:paraId="026BC4A5" w14:textId="21E8F3B2" w:rsidR="00FB4B5E" w:rsidRDefault="00FB4B5E" w:rsidP="0025244D">
      <w:pPr>
        <w:jc w:val="both"/>
        <w:rPr>
          <w:rFonts w:ascii="Ping LCG Regular" w:hAnsi="Ping LCG Regular" w:cs="Arial"/>
          <w:spacing w:val="-14"/>
          <w:sz w:val="22"/>
          <w:szCs w:val="22"/>
          <w:lang w:val="el-GR"/>
        </w:rPr>
      </w:pPr>
      <w:r w:rsidRPr="00FB4B5E">
        <w:rPr>
          <w:rFonts w:ascii="Ping LCG Regular" w:hAnsi="Ping LCG Regular" w:cs="Arial"/>
          <w:spacing w:val="-14"/>
          <w:sz w:val="22"/>
          <w:szCs w:val="22"/>
          <w:lang w:val="el-GR"/>
        </w:rPr>
        <w:t>Τα αποτελέσματα προ φόρων διαμορφώθηκαν σε κέρδη €</w:t>
      </w:r>
      <w:r w:rsidR="00C953F1" w:rsidRPr="00C953F1">
        <w:rPr>
          <w:rFonts w:ascii="Ping LCG Regular" w:hAnsi="Ping LCG Regular" w:cs="Arial"/>
          <w:spacing w:val="-14"/>
          <w:sz w:val="22"/>
          <w:szCs w:val="22"/>
          <w:lang w:val="el-GR"/>
        </w:rPr>
        <w:t>391</w:t>
      </w:r>
      <w:r w:rsidR="009174BF">
        <w:rPr>
          <w:rFonts w:ascii="Ping LCG Regular" w:hAnsi="Ping LCG Regular" w:cs="Arial"/>
          <w:spacing w:val="-14"/>
          <w:sz w:val="22"/>
          <w:szCs w:val="22"/>
          <w:lang w:val="el-GR"/>
        </w:rPr>
        <w:t>,</w:t>
      </w:r>
      <w:r w:rsidR="00C953F1" w:rsidRPr="00C953F1">
        <w:rPr>
          <w:rFonts w:ascii="Ping LCG Regular" w:hAnsi="Ping LCG Regular" w:cs="Arial"/>
          <w:spacing w:val="-14"/>
          <w:sz w:val="22"/>
          <w:szCs w:val="22"/>
          <w:lang w:val="el-GR"/>
        </w:rPr>
        <w:t>2</w:t>
      </w:r>
      <w:r w:rsidRPr="00FB4B5E">
        <w:rPr>
          <w:rFonts w:ascii="Ping LCG Regular" w:hAnsi="Ping LCG Regular" w:cs="Arial"/>
          <w:spacing w:val="-14"/>
          <w:sz w:val="22"/>
          <w:szCs w:val="22"/>
          <w:lang w:val="el-GR"/>
        </w:rPr>
        <w:t xml:space="preserve"> εκατ. έναντι </w:t>
      </w:r>
      <w:r w:rsidR="002A270E">
        <w:rPr>
          <w:rFonts w:ascii="Ping LCG Regular" w:hAnsi="Ping LCG Regular" w:cs="Arial"/>
          <w:spacing w:val="-14"/>
          <w:sz w:val="22"/>
          <w:szCs w:val="22"/>
          <w:lang w:val="el-GR"/>
        </w:rPr>
        <w:t>ζημιών</w:t>
      </w:r>
      <w:r w:rsidRPr="00FB4B5E">
        <w:rPr>
          <w:rFonts w:ascii="Ping LCG Regular" w:hAnsi="Ping LCG Regular" w:cs="Arial"/>
          <w:spacing w:val="-14"/>
          <w:sz w:val="22"/>
          <w:szCs w:val="22"/>
          <w:lang w:val="el-GR"/>
        </w:rPr>
        <w:t xml:space="preserve"> €</w:t>
      </w:r>
      <w:r w:rsidR="002A270E">
        <w:rPr>
          <w:rFonts w:ascii="Ping LCG Regular" w:hAnsi="Ping LCG Regular" w:cs="Arial"/>
          <w:spacing w:val="-14"/>
          <w:sz w:val="22"/>
          <w:szCs w:val="22"/>
          <w:lang w:val="el-GR"/>
        </w:rPr>
        <w:t xml:space="preserve">151,1 </w:t>
      </w:r>
      <w:r w:rsidRPr="00FB4B5E">
        <w:rPr>
          <w:rFonts w:ascii="Ping LCG Regular" w:hAnsi="Ping LCG Regular" w:cs="Arial"/>
          <w:spacing w:val="-14"/>
          <w:sz w:val="22"/>
          <w:szCs w:val="22"/>
          <w:lang w:val="el-GR"/>
        </w:rPr>
        <w:t xml:space="preserve">εκατ. το </w:t>
      </w:r>
      <w:r w:rsidR="002A270E">
        <w:rPr>
          <w:rFonts w:ascii="Ping LCG Regular" w:hAnsi="Ping LCG Regular" w:cs="Arial"/>
          <w:spacing w:val="-14"/>
          <w:sz w:val="22"/>
          <w:szCs w:val="22"/>
          <w:lang w:val="el-GR"/>
        </w:rPr>
        <w:t>εννε</w:t>
      </w:r>
      <w:r w:rsidRPr="00FB4B5E">
        <w:rPr>
          <w:rFonts w:ascii="Ping LCG Regular" w:hAnsi="Ping LCG Regular" w:cs="Arial"/>
          <w:spacing w:val="-14"/>
          <w:sz w:val="22"/>
          <w:szCs w:val="22"/>
          <w:lang w:val="el-GR"/>
        </w:rPr>
        <w:t xml:space="preserve">άμηνο 2022, καθώς </w:t>
      </w:r>
      <w:r w:rsidR="004C6B92">
        <w:rPr>
          <w:rFonts w:ascii="Ping LCG Regular" w:hAnsi="Ping LCG Regular" w:cs="Arial"/>
          <w:spacing w:val="-14"/>
          <w:sz w:val="22"/>
          <w:szCs w:val="22"/>
          <w:lang w:val="el-GR"/>
        </w:rPr>
        <w:t xml:space="preserve">συμπεριλαμβάνεται σε αυτά και </w:t>
      </w:r>
      <w:r w:rsidRPr="00FB4B5E">
        <w:rPr>
          <w:rFonts w:ascii="Ping LCG Regular" w:hAnsi="Ping LCG Regular" w:cs="Arial"/>
          <w:spacing w:val="-14"/>
          <w:sz w:val="22"/>
          <w:szCs w:val="22"/>
          <w:lang w:val="el-GR"/>
        </w:rPr>
        <w:t xml:space="preserve">το κέρδος ύψους €141,6 εκατ. από την </w:t>
      </w:r>
      <w:r w:rsidR="00F2415A" w:rsidRPr="00FB4B5E">
        <w:rPr>
          <w:rFonts w:ascii="Ping LCG Regular" w:hAnsi="Ping LCG Regular" w:cs="Arial"/>
          <w:spacing w:val="-14"/>
          <w:sz w:val="22"/>
          <w:szCs w:val="22"/>
          <w:lang w:val="el-GR"/>
        </w:rPr>
        <w:t xml:space="preserve">πώληση </w:t>
      </w:r>
      <w:r w:rsidR="00A84642">
        <w:rPr>
          <w:rFonts w:ascii="Ping LCG Regular" w:hAnsi="Ping LCG Regular" w:cs="Arial"/>
          <w:spacing w:val="-14"/>
          <w:sz w:val="22"/>
          <w:szCs w:val="22"/>
          <w:lang w:val="el-GR"/>
        </w:rPr>
        <w:t xml:space="preserve">των </w:t>
      </w:r>
      <w:r w:rsidR="003D6596">
        <w:rPr>
          <w:rFonts w:ascii="Ping LCG Regular" w:hAnsi="Ping LCG Regular" w:cs="Arial"/>
          <w:spacing w:val="-14"/>
          <w:sz w:val="22"/>
          <w:szCs w:val="22"/>
          <w:lang w:val="el-GR"/>
        </w:rPr>
        <w:t xml:space="preserve">πρώην </w:t>
      </w:r>
      <w:r w:rsidR="00A84642">
        <w:rPr>
          <w:rFonts w:ascii="Ping LCG Regular" w:hAnsi="Ping LCG Regular" w:cs="Arial"/>
          <w:spacing w:val="-14"/>
          <w:sz w:val="22"/>
          <w:szCs w:val="22"/>
          <w:lang w:val="el-GR"/>
        </w:rPr>
        <w:t xml:space="preserve">λιγνιτικών </w:t>
      </w:r>
      <w:r w:rsidR="003D6596">
        <w:rPr>
          <w:rFonts w:ascii="Ping LCG Regular" w:hAnsi="Ping LCG Regular" w:cs="Arial"/>
          <w:spacing w:val="-14"/>
          <w:sz w:val="22"/>
          <w:szCs w:val="22"/>
          <w:lang w:val="el-GR"/>
        </w:rPr>
        <w:t>περιοχών</w:t>
      </w:r>
      <w:r w:rsidRPr="00FB4B5E">
        <w:rPr>
          <w:rFonts w:ascii="Ping LCG Regular" w:hAnsi="Ping LCG Regular" w:cs="Arial"/>
          <w:spacing w:val="-14"/>
          <w:sz w:val="22"/>
          <w:szCs w:val="22"/>
          <w:lang w:val="el-GR"/>
        </w:rPr>
        <w:t xml:space="preserve"> </w:t>
      </w:r>
      <w:r w:rsidR="00EF786F">
        <w:rPr>
          <w:rFonts w:ascii="Ping LCG Regular" w:hAnsi="Ping LCG Regular" w:cs="Arial"/>
          <w:spacing w:val="-14"/>
          <w:sz w:val="22"/>
          <w:szCs w:val="22"/>
          <w:lang w:val="el-GR"/>
        </w:rPr>
        <w:t xml:space="preserve">στο Ελληνικό </w:t>
      </w:r>
      <w:r w:rsidR="00E16E55">
        <w:rPr>
          <w:rFonts w:ascii="Ping LCG Regular" w:hAnsi="Ping LCG Regular" w:cs="Arial"/>
          <w:spacing w:val="-14"/>
          <w:sz w:val="22"/>
          <w:szCs w:val="22"/>
          <w:lang w:val="el-GR"/>
        </w:rPr>
        <w:t>Δημόσιο</w:t>
      </w:r>
      <w:r w:rsidR="00390032">
        <w:rPr>
          <w:rFonts w:ascii="Ping LCG Regular" w:hAnsi="Ping LCG Regular" w:cs="Arial"/>
          <w:spacing w:val="-14"/>
          <w:sz w:val="22"/>
          <w:szCs w:val="22"/>
          <w:lang w:val="el-GR"/>
        </w:rPr>
        <w:t>, το οποίο καταγράφηκε στα αποτελέσματα του β’ τριμήνου 2023.</w:t>
      </w:r>
    </w:p>
    <w:p w14:paraId="7A610AD2" w14:textId="77777777" w:rsidR="00A84642" w:rsidRDefault="00A84642" w:rsidP="00BE5F95">
      <w:pPr>
        <w:jc w:val="both"/>
        <w:rPr>
          <w:rFonts w:ascii="Ping LCG Regular" w:hAnsi="Ping LCG Regular" w:cs="Arial"/>
          <w:spacing w:val="-14"/>
          <w:sz w:val="22"/>
          <w:szCs w:val="22"/>
          <w:lang w:val="el-GR"/>
        </w:rPr>
      </w:pPr>
    </w:p>
    <w:p w14:paraId="17B49E21" w14:textId="321F6B38" w:rsidR="00BE5F95" w:rsidRDefault="00BE5F95" w:rsidP="00BE5F95">
      <w:pPr>
        <w:jc w:val="both"/>
        <w:rPr>
          <w:rFonts w:ascii="Ping LCG Regular" w:hAnsi="Ping LCG Regular" w:cs="Arial"/>
          <w:spacing w:val="-14"/>
          <w:sz w:val="22"/>
          <w:szCs w:val="22"/>
          <w:lang w:val="el-GR"/>
        </w:rPr>
      </w:pPr>
      <w:r w:rsidRPr="00833776">
        <w:rPr>
          <w:rFonts w:ascii="Ping LCG Regular" w:hAnsi="Ping LCG Regular" w:cs="Arial"/>
          <w:spacing w:val="-14"/>
          <w:sz w:val="22"/>
          <w:szCs w:val="22"/>
          <w:lang w:val="el-GR"/>
        </w:rPr>
        <w:t>Τα αποτελέσματα μετά από φόρους διαμορφώθηκαν σε κέρδη €</w:t>
      </w:r>
      <w:r w:rsidR="00C953F1" w:rsidRPr="00C953F1">
        <w:rPr>
          <w:rFonts w:ascii="Ping LCG Regular" w:hAnsi="Ping LCG Regular" w:cs="Arial"/>
          <w:spacing w:val="-14"/>
          <w:sz w:val="22"/>
          <w:szCs w:val="22"/>
          <w:lang w:val="el-GR"/>
        </w:rPr>
        <w:t>267</w:t>
      </w:r>
      <w:r w:rsidR="009919C6">
        <w:rPr>
          <w:rFonts w:ascii="Ping LCG Regular" w:hAnsi="Ping LCG Regular" w:cs="Arial"/>
          <w:spacing w:val="-14"/>
          <w:sz w:val="22"/>
          <w:szCs w:val="22"/>
          <w:lang w:val="el-GR"/>
        </w:rPr>
        <w:t>,</w:t>
      </w:r>
      <w:r w:rsidR="00C953F1" w:rsidRPr="00C953F1">
        <w:rPr>
          <w:rFonts w:ascii="Ping LCG Regular" w:hAnsi="Ping LCG Regular" w:cs="Arial"/>
          <w:spacing w:val="-14"/>
          <w:sz w:val="22"/>
          <w:szCs w:val="22"/>
          <w:lang w:val="el-GR"/>
        </w:rPr>
        <w:t>5</w:t>
      </w:r>
      <w:r w:rsidRPr="00833776">
        <w:rPr>
          <w:rFonts w:ascii="Ping LCG Regular" w:hAnsi="Ping LCG Regular" w:cs="Arial"/>
          <w:spacing w:val="-14"/>
          <w:sz w:val="22"/>
          <w:szCs w:val="22"/>
          <w:lang w:val="el-GR"/>
        </w:rPr>
        <w:t xml:space="preserve"> εκατ. </w:t>
      </w:r>
      <w:r w:rsidR="00045298">
        <w:rPr>
          <w:rFonts w:ascii="Ping LCG Regular" w:hAnsi="Ping LCG Regular" w:cs="Arial"/>
          <w:spacing w:val="-14"/>
          <w:sz w:val="22"/>
          <w:szCs w:val="22"/>
          <w:lang w:val="el-GR"/>
        </w:rPr>
        <w:t xml:space="preserve">το εννεάμηνο 2023, </w:t>
      </w:r>
      <w:r w:rsidRPr="00833776">
        <w:rPr>
          <w:rFonts w:ascii="Ping LCG Regular" w:hAnsi="Ping LCG Regular" w:cs="Arial"/>
          <w:spacing w:val="-14"/>
          <w:sz w:val="22"/>
          <w:szCs w:val="22"/>
          <w:lang w:val="el-GR"/>
        </w:rPr>
        <w:t>έναντι ζημιών €</w:t>
      </w:r>
      <w:r w:rsidR="009919C6">
        <w:rPr>
          <w:rFonts w:ascii="Ping LCG Regular" w:hAnsi="Ping LCG Regular" w:cs="Arial"/>
          <w:spacing w:val="-14"/>
          <w:sz w:val="22"/>
          <w:szCs w:val="22"/>
          <w:lang w:val="el-GR"/>
        </w:rPr>
        <w:t>1</w:t>
      </w:r>
      <w:r w:rsidR="00435373">
        <w:rPr>
          <w:rFonts w:ascii="Ping LCG Regular" w:hAnsi="Ping LCG Regular" w:cs="Arial"/>
          <w:spacing w:val="-14"/>
          <w:sz w:val="22"/>
          <w:szCs w:val="22"/>
          <w:lang w:val="el-GR"/>
        </w:rPr>
        <w:t>69,8</w:t>
      </w:r>
      <w:r w:rsidRPr="00833776">
        <w:rPr>
          <w:rFonts w:ascii="Ping LCG Regular" w:hAnsi="Ping LCG Regular" w:cs="Arial"/>
          <w:spacing w:val="-14"/>
          <w:sz w:val="22"/>
          <w:szCs w:val="22"/>
          <w:lang w:val="el-GR"/>
        </w:rPr>
        <w:t xml:space="preserve"> εκατ. το </w:t>
      </w:r>
      <w:r w:rsidR="009919C6">
        <w:rPr>
          <w:rFonts w:ascii="Ping LCG Regular" w:hAnsi="Ping LCG Regular" w:cs="Arial"/>
          <w:spacing w:val="-14"/>
          <w:sz w:val="22"/>
          <w:szCs w:val="22"/>
          <w:lang w:val="el-GR"/>
        </w:rPr>
        <w:t>εννε</w:t>
      </w:r>
      <w:r w:rsidRPr="00833776">
        <w:rPr>
          <w:rFonts w:ascii="Ping LCG Regular" w:hAnsi="Ping LCG Regular" w:cs="Arial"/>
          <w:spacing w:val="-14"/>
          <w:sz w:val="22"/>
          <w:szCs w:val="22"/>
          <w:lang w:val="el-GR"/>
        </w:rPr>
        <w:t>άμηνο 2022.</w:t>
      </w:r>
      <w:r w:rsidRPr="00790A5C">
        <w:rPr>
          <w:rFonts w:ascii="Ping LCG Regular" w:hAnsi="Ping LCG Regular" w:cs="Arial"/>
          <w:spacing w:val="-14"/>
          <w:sz w:val="22"/>
          <w:szCs w:val="22"/>
          <w:lang w:val="el-GR"/>
        </w:rPr>
        <w:t xml:space="preserve">   </w:t>
      </w:r>
    </w:p>
    <w:p w14:paraId="072324CB" w14:textId="77777777" w:rsidR="00BE5F95" w:rsidRDefault="00BE5F95" w:rsidP="00BE5F95">
      <w:pPr>
        <w:jc w:val="both"/>
        <w:rPr>
          <w:rFonts w:ascii="Ping LCG Regular" w:hAnsi="Ping LCG Regular" w:cs="Arial"/>
          <w:spacing w:val="-14"/>
          <w:sz w:val="22"/>
          <w:szCs w:val="22"/>
          <w:lang w:val="el-GR"/>
        </w:rPr>
      </w:pPr>
    </w:p>
    <w:p w14:paraId="360C4907" w14:textId="2DEE47DA" w:rsidR="00B74694" w:rsidRPr="008C48AC" w:rsidRDefault="00B74694" w:rsidP="0025244D">
      <w:pPr>
        <w:jc w:val="both"/>
        <w:rPr>
          <w:rFonts w:ascii="Ping LCG Regular" w:hAnsi="Ping LCG Regular" w:cs="Arial"/>
          <w:spacing w:val="-14"/>
          <w:sz w:val="22"/>
          <w:szCs w:val="22"/>
          <w:lang w:val="el-GR"/>
        </w:rPr>
      </w:pPr>
      <w:r w:rsidRPr="008C48AC">
        <w:rPr>
          <w:rFonts w:ascii="Ping LCG Regular" w:hAnsi="Ping LCG Regular" w:cs="Arial"/>
          <w:spacing w:val="-14"/>
          <w:sz w:val="22"/>
          <w:szCs w:val="22"/>
          <w:lang w:val="el-GR"/>
        </w:rPr>
        <w:br w:type="page"/>
      </w:r>
    </w:p>
    <w:p w14:paraId="3DA0EF5A" w14:textId="77777777" w:rsidR="00DD0B65" w:rsidRPr="001E13D4" w:rsidRDefault="00DD0B65" w:rsidP="00DD0B65">
      <w:pPr>
        <w:jc w:val="both"/>
        <w:rPr>
          <w:rFonts w:ascii="Ping LCG Regular" w:hAnsi="Ping LCG Regular"/>
          <w:b/>
          <w:bCs/>
          <w:sz w:val="22"/>
          <w:szCs w:val="22"/>
          <w:lang w:val="el-GR"/>
        </w:rPr>
      </w:pPr>
      <w:r w:rsidRPr="001E13D4">
        <w:rPr>
          <w:rFonts w:ascii="Ping LCG Regular" w:hAnsi="Ping LCG Regular"/>
          <w:b/>
          <w:bCs/>
          <w:sz w:val="22"/>
          <w:szCs w:val="22"/>
          <w:lang w:val="el-GR"/>
        </w:rPr>
        <w:lastRenderedPageBreak/>
        <w:t xml:space="preserve">Σχολιάζοντας τα οικονομικά αποτελέσματα, ο Πρόεδρος και Διευθύνων Σύμβουλος της ΔΕΗ Α.Ε. κ. Γεώργιος Στάσσης δήλωσε: </w:t>
      </w:r>
    </w:p>
    <w:p w14:paraId="620B2410" w14:textId="77777777" w:rsidR="00DD0B65" w:rsidRPr="00C626CC" w:rsidRDefault="00DD0B65" w:rsidP="00DD0B65">
      <w:pPr>
        <w:jc w:val="both"/>
        <w:rPr>
          <w:rFonts w:ascii="Ping LCG Regular" w:hAnsi="Ping LCG Regular"/>
          <w:sz w:val="22"/>
          <w:szCs w:val="22"/>
          <w:lang w:val="el-GR"/>
        </w:rPr>
      </w:pPr>
    </w:p>
    <w:p w14:paraId="19630B23" w14:textId="77777777" w:rsidR="00C626CC" w:rsidRPr="006322FA" w:rsidRDefault="00C626CC" w:rsidP="00C626CC">
      <w:pPr>
        <w:jc w:val="both"/>
        <w:rPr>
          <w:rFonts w:ascii="Ping LCG Regular" w:hAnsi="Ping LCG Regular"/>
          <w:sz w:val="22"/>
          <w:szCs w:val="22"/>
          <w:lang w:val="el-GR"/>
        </w:rPr>
      </w:pPr>
      <w:r w:rsidRPr="006322FA">
        <w:rPr>
          <w:rFonts w:ascii="Ping LCG Regular" w:hAnsi="Ping LCG Regular"/>
          <w:sz w:val="22"/>
          <w:szCs w:val="22"/>
          <w:lang w:val="el-GR"/>
        </w:rPr>
        <w:t xml:space="preserve">«Οι επιδόσεις μας για το εννεάμηνο 2023 ήταν ισχυρές παρά τις προκλήσεις από το εξωτερικό περιβάλλον, με γεωπολιτικές εντάσεις σε συνέχεια της ενεργειακής κρίσης και της πανδημίας Covid-19, αναδεικνύοντας με αυτόν τον τρόπο την ανθεκτικότητα του επιχειρηματικού μας μοντέλου. Καταφέραμε να επιταχύνουμε τις επενδύσεις μας σε στρατηγικούς τομείς όπως οι Ανανεώσιμες Πηγές Ενέργειας και τα δίκτυα, διατηρώντας παράλληλα τη σχέση του καθαρού δανεισμού προς </w:t>
      </w:r>
      <w:r w:rsidRPr="006322FA">
        <w:rPr>
          <w:rFonts w:ascii="Ping LCG Regular" w:hAnsi="Ping LCG Regular"/>
          <w:sz w:val="22"/>
          <w:szCs w:val="22"/>
        </w:rPr>
        <w:t>EBITDA</w:t>
      </w:r>
      <w:r w:rsidRPr="006322FA">
        <w:rPr>
          <w:rFonts w:ascii="Ping LCG Regular" w:hAnsi="Ping LCG Regular"/>
          <w:sz w:val="22"/>
          <w:szCs w:val="22"/>
          <w:lang w:val="el-GR"/>
        </w:rPr>
        <w:t xml:space="preserve"> εντός των στόχων μας, την ρευστότητα σε υψηλό επίπεδο, ενώ παράλληλα συνεχίσαμε να στηρίζουμε τους πελάτες μας με την παροχή ανταγωνιστικών τιμολογίων. Για το σύνολο του έτους, είμαστε βέβαιοι ότι θα επιτύχουμε τον στόχο για επαναλαμβανόμενο EBITDA ύψους €1,2 δισ. περίπου.</w:t>
      </w:r>
    </w:p>
    <w:p w14:paraId="443AE04F" w14:textId="77777777" w:rsidR="00C626CC" w:rsidRPr="006322FA" w:rsidRDefault="00C626CC" w:rsidP="00C626CC">
      <w:pPr>
        <w:jc w:val="both"/>
        <w:rPr>
          <w:rFonts w:ascii="Ping LCG Regular" w:hAnsi="Ping LCG Regular"/>
          <w:sz w:val="22"/>
          <w:szCs w:val="22"/>
          <w:lang w:val="el-GR"/>
        </w:rPr>
      </w:pPr>
    </w:p>
    <w:p w14:paraId="07AEF9D0" w14:textId="77777777" w:rsidR="00C626CC" w:rsidRPr="006322FA" w:rsidRDefault="00C626CC" w:rsidP="00C626CC">
      <w:pPr>
        <w:jc w:val="both"/>
        <w:rPr>
          <w:rFonts w:ascii="Ping LCG Regular" w:hAnsi="Ping LCG Regular"/>
          <w:sz w:val="22"/>
          <w:szCs w:val="22"/>
          <w:lang w:val="el-GR"/>
        </w:rPr>
      </w:pPr>
      <w:r w:rsidRPr="006322FA">
        <w:rPr>
          <w:rFonts w:ascii="Ping LCG Regular" w:hAnsi="Ping LCG Regular"/>
          <w:sz w:val="22"/>
          <w:szCs w:val="22"/>
          <w:lang w:val="el-GR"/>
        </w:rPr>
        <w:t>Στις Ανανεώσιμες Πηγές ενέργειας, διαθέτουμε πλέον 670 MW ισχύος στην Ελλάδα και κατασκευάζουμε επιπλέον έργα συνολικής ισχύος 1,3 GW. Παράλληλα, επεκτείνουμε την παρουσία μας σε χώρες της περιοχής μας - σύμφωνα με το Επιχειρηματικό μας Σχέδιο - όπως είναι η Ρουμανία, μετά την ολοκλήρωση της εξαγοράς των δραστηριοτήτων της Enel στη χώρα. Πρόκειται για μία συναλλαγή η οποία αποτελεί ορόσημο για τη ΔΕΗ προκειμένου να γίνει η κορυφαία εταιρεία καθαρής ενέργειας στην Νοτιοανατολική Ευρώπη.</w:t>
      </w:r>
    </w:p>
    <w:p w14:paraId="4929CB86" w14:textId="77777777" w:rsidR="00C626CC" w:rsidRPr="006322FA" w:rsidRDefault="00C626CC" w:rsidP="00C626CC">
      <w:pPr>
        <w:jc w:val="both"/>
        <w:rPr>
          <w:rFonts w:ascii="Ping LCG Regular" w:hAnsi="Ping LCG Regular"/>
          <w:sz w:val="22"/>
          <w:szCs w:val="22"/>
          <w:lang w:val="el-GR"/>
        </w:rPr>
      </w:pPr>
    </w:p>
    <w:p w14:paraId="5EB24799" w14:textId="77777777" w:rsidR="00C626CC" w:rsidRPr="006322FA" w:rsidRDefault="00C626CC" w:rsidP="00C626CC">
      <w:pPr>
        <w:jc w:val="both"/>
        <w:rPr>
          <w:rFonts w:ascii="Ping LCG Regular" w:hAnsi="Ping LCG Regular"/>
          <w:sz w:val="22"/>
          <w:szCs w:val="22"/>
          <w:lang w:val="el-GR"/>
        </w:rPr>
      </w:pPr>
      <w:r w:rsidRPr="006322FA">
        <w:rPr>
          <w:rFonts w:ascii="Ping LCG Regular" w:hAnsi="Ping LCG Regular"/>
          <w:sz w:val="22"/>
          <w:szCs w:val="22"/>
          <w:lang w:val="el-GR"/>
        </w:rPr>
        <w:t xml:space="preserve">Στην Ελλάδα, η συμφωνία για την εξαγορά της Κωτσόβολος, επιταχύνει τη μετάβαση της ΔΕΗ σε έναν ολοκληρωμένο πάροχο προϊόντων και υπηρεσιών τόσο σε ψηφιακό όσο και σε φυσικό επίπεδο, με βάση τον πυλώνα της πελατοκεντρικότητας της στρατηγικής μας. Είμαστε ενθουσιασμένοι για τον συνεχιζόμενο μετασχηματισμό της ΔΕΗ και θα παρουσιάσουμε την επικαροποιημένη στρατηγική μας, καθώς και το όραμά μας για τη νέα ΔΕΗ σε Capital Markets Day στα τέλη Ιανουαρίου, στο Λονδίνο». </w:t>
      </w:r>
    </w:p>
    <w:p w14:paraId="154553DD" w14:textId="39A8BCE2" w:rsidR="00592DC0" w:rsidRPr="006322FA" w:rsidRDefault="00592DC0" w:rsidP="00592DC0">
      <w:pPr>
        <w:jc w:val="both"/>
        <w:rPr>
          <w:rFonts w:ascii="Ping LCG Regular" w:hAnsi="Ping LCG Regular"/>
          <w:sz w:val="22"/>
          <w:szCs w:val="22"/>
          <w:lang w:val="el-GR"/>
        </w:rPr>
      </w:pPr>
    </w:p>
    <w:p w14:paraId="170C56B3" w14:textId="77777777" w:rsidR="001E13D4" w:rsidRPr="001E13D4" w:rsidRDefault="001E13D4" w:rsidP="0025244D">
      <w:pPr>
        <w:jc w:val="both"/>
        <w:rPr>
          <w:rFonts w:ascii="Ping LCG Regular" w:hAnsi="Ping LCG Regular" w:cs="Arial"/>
          <w:b/>
          <w:bCs/>
          <w:color w:val="000000"/>
          <w:sz w:val="22"/>
          <w:szCs w:val="22"/>
          <w:highlight w:val="yellow"/>
          <w:lang w:val="el-GR"/>
        </w:rPr>
      </w:pPr>
    </w:p>
    <w:p w14:paraId="59F3132D" w14:textId="77AF3189" w:rsidR="00B26EE8" w:rsidRPr="00C574ED" w:rsidRDefault="00B26EE8" w:rsidP="0025244D">
      <w:pPr>
        <w:jc w:val="both"/>
        <w:rPr>
          <w:rFonts w:ascii="Ping LCG Regular" w:hAnsi="Ping LCG Regular" w:cs="Arial"/>
          <w:b/>
          <w:bCs/>
          <w:color w:val="000000"/>
          <w:sz w:val="22"/>
          <w:szCs w:val="22"/>
          <w:highlight w:val="yellow"/>
          <w:lang w:val="el-GR"/>
        </w:rPr>
      </w:pPr>
      <w:r w:rsidRPr="00C574ED">
        <w:rPr>
          <w:rFonts w:ascii="Ping LCG Regular" w:hAnsi="Ping LCG Regular" w:cs="Arial"/>
          <w:b/>
          <w:bCs/>
          <w:color w:val="000000"/>
          <w:sz w:val="22"/>
          <w:szCs w:val="22"/>
          <w:highlight w:val="yellow"/>
          <w:lang w:val="el-GR"/>
        </w:rPr>
        <w:br w:type="page"/>
      </w:r>
    </w:p>
    <w:p w14:paraId="7A6918F4" w14:textId="5A479048" w:rsidR="00413F79" w:rsidRPr="005B47C4" w:rsidRDefault="00413F79" w:rsidP="0025244D">
      <w:pPr>
        <w:autoSpaceDE w:val="0"/>
        <w:autoSpaceDN w:val="0"/>
        <w:adjustRightInd w:val="0"/>
        <w:jc w:val="both"/>
        <w:rPr>
          <w:rFonts w:ascii="Ping LCG Regular" w:hAnsi="Ping LCG Regular" w:cs="Arial"/>
          <w:b/>
          <w:bCs/>
          <w:spacing w:val="-14"/>
          <w:sz w:val="22"/>
          <w:szCs w:val="22"/>
          <w:lang w:val="el-GR"/>
        </w:rPr>
      </w:pPr>
      <w:r w:rsidRPr="005B47C4">
        <w:rPr>
          <w:rFonts w:ascii="Ping LCG Regular" w:hAnsi="Ping LCG Regular" w:cs="Arial"/>
          <w:b/>
          <w:bCs/>
          <w:color w:val="000000"/>
          <w:sz w:val="22"/>
          <w:szCs w:val="22"/>
          <w:u w:val="single"/>
          <w:lang w:val="el-GR"/>
        </w:rPr>
        <w:lastRenderedPageBreak/>
        <w:t xml:space="preserve">Λειτουργικά μεγέθη </w:t>
      </w:r>
    </w:p>
    <w:p w14:paraId="3D0351C5" w14:textId="3D075311" w:rsidR="005915DB" w:rsidRPr="005B47C4" w:rsidRDefault="005915DB" w:rsidP="0025244D">
      <w:pPr>
        <w:jc w:val="both"/>
        <w:rPr>
          <w:rFonts w:ascii="Ping LCG Regular" w:hAnsi="Ping LCG Regular" w:cs="Arial"/>
          <w:b/>
          <w:bCs/>
          <w:spacing w:val="-14"/>
          <w:sz w:val="22"/>
          <w:szCs w:val="22"/>
          <w:lang w:val="el-GR"/>
        </w:rPr>
      </w:pPr>
      <w:bookmarkStart w:id="3" w:name="_Hlk69205105"/>
    </w:p>
    <w:bookmarkEnd w:id="3"/>
    <w:p w14:paraId="6BB76DF1" w14:textId="101D4413" w:rsidR="00A67432" w:rsidRDefault="00591D50" w:rsidP="006B2188">
      <w:pPr>
        <w:autoSpaceDE w:val="0"/>
        <w:autoSpaceDN w:val="0"/>
        <w:adjustRightInd w:val="0"/>
        <w:jc w:val="both"/>
        <w:rPr>
          <w:rFonts w:ascii="Ping LCG Regular" w:hAnsi="Ping LCG Regular" w:cs="Arial"/>
          <w:spacing w:val="-14"/>
          <w:sz w:val="22"/>
          <w:szCs w:val="22"/>
          <w:lang w:val="el-GR"/>
        </w:rPr>
      </w:pPr>
      <w:r w:rsidRPr="00AE0320">
        <w:rPr>
          <w:rFonts w:ascii="Ping LCG Regular" w:hAnsi="Ping LCG Regular" w:cs="Arial"/>
          <w:spacing w:val="-14"/>
          <w:sz w:val="22"/>
          <w:szCs w:val="22"/>
          <w:lang w:val="el-GR"/>
        </w:rPr>
        <w:t>Αναφορικά με την εγχώρια ζήτηση ηλεκτρικής ενέργειας</w:t>
      </w:r>
      <w:r w:rsidR="00A67432" w:rsidRPr="00AE0320">
        <w:rPr>
          <w:rFonts w:ascii="Ping LCG Regular" w:hAnsi="Ping LCG Regular" w:cs="Arial"/>
          <w:spacing w:val="-14"/>
          <w:sz w:val="22"/>
          <w:szCs w:val="22"/>
          <w:lang w:val="el-GR"/>
        </w:rPr>
        <w:t xml:space="preserve">, </w:t>
      </w:r>
      <w:r w:rsidR="00B21366" w:rsidRPr="00AE0320">
        <w:rPr>
          <w:rFonts w:ascii="Ping LCG Regular" w:hAnsi="Ping LCG Regular" w:cs="Arial"/>
          <w:spacing w:val="-14"/>
          <w:sz w:val="22"/>
          <w:szCs w:val="22"/>
          <w:lang w:val="el-GR"/>
        </w:rPr>
        <w:t xml:space="preserve">το γ’ τρίμηνο </w:t>
      </w:r>
      <w:r w:rsidR="00ED7224" w:rsidRPr="00AE0320">
        <w:rPr>
          <w:rFonts w:ascii="Ping LCG Regular" w:hAnsi="Ping LCG Regular" w:cs="Arial"/>
          <w:spacing w:val="-14"/>
          <w:sz w:val="22"/>
          <w:szCs w:val="22"/>
          <w:lang w:val="el-GR"/>
        </w:rPr>
        <w:t xml:space="preserve">του 2023 </w:t>
      </w:r>
      <w:r w:rsidR="005738F1" w:rsidRPr="00AE0320">
        <w:rPr>
          <w:rFonts w:ascii="Ping LCG Regular" w:hAnsi="Ping LCG Regular" w:cs="Arial"/>
          <w:spacing w:val="-14"/>
          <w:sz w:val="22"/>
          <w:szCs w:val="22"/>
          <w:lang w:val="el-GR"/>
        </w:rPr>
        <w:t>καταγράφηκε</w:t>
      </w:r>
      <w:r w:rsidR="00ED7224" w:rsidRPr="00AE0320">
        <w:rPr>
          <w:rFonts w:ascii="Ping LCG Regular" w:hAnsi="Ping LCG Regular" w:cs="Arial"/>
          <w:spacing w:val="-14"/>
          <w:sz w:val="22"/>
          <w:szCs w:val="22"/>
          <w:lang w:val="el-GR"/>
        </w:rPr>
        <w:t xml:space="preserve"> αύξηση </w:t>
      </w:r>
      <w:r w:rsidR="00602282" w:rsidRPr="00AE0320">
        <w:rPr>
          <w:rFonts w:ascii="Ping LCG Regular" w:hAnsi="Ping LCG Regular" w:cs="Arial"/>
          <w:spacing w:val="-14"/>
          <w:sz w:val="22"/>
          <w:szCs w:val="22"/>
          <w:lang w:val="el-GR"/>
        </w:rPr>
        <w:t xml:space="preserve">κατά </w:t>
      </w:r>
      <w:r w:rsidR="00A13FBF">
        <w:rPr>
          <w:rFonts w:ascii="Ping LCG Regular" w:hAnsi="Ping LCG Regular" w:cs="Arial"/>
          <w:spacing w:val="-14"/>
          <w:sz w:val="22"/>
          <w:szCs w:val="22"/>
          <w:lang w:val="el-GR"/>
        </w:rPr>
        <w:t>8</w:t>
      </w:r>
      <w:r w:rsidR="00382F8A" w:rsidRPr="00AE0320">
        <w:rPr>
          <w:rFonts w:ascii="Ping LCG Regular" w:hAnsi="Ping LCG Regular" w:cs="Arial"/>
          <w:spacing w:val="-14"/>
          <w:sz w:val="22"/>
          <w:szCs w:val="22"/>
          <w:lang w:val="el-GR"/>
        </w:rPr>
        <w:t>,</w:t>
      </w:r>
      <w:r w:rsidR="00FA13E5" w:rsidRPr="00FA13E5">
        <w:rPr>
          <w:rFonts w:ascii="Ping LCG Regular" w:hAnsi="Ping LCG Regular" w:cs="Arial"/>
          <w:spacing w:val="-14"/>
          <w:sz w:val="22"/>
          <w:szCs w:val="22"/>
          <w:lang w:val="el-GR"/>
        </w:rPr>
        <w:t>7</w:t>
      </w:r>
      <w:r w:rsidR="00382F8A" w:rsidRPr="00AE0320">
        <w:rPr>
          <w:rFonts w:ascii="Ping LCG Regular" w:hAnsi="Ping LCG Regular" w:cs="Arial"/>
          <w:spacing w:val="-14"/>
          <w:sz w:val="22"/>
          <w:szCs w:val="22"/>
          <w:lang w:val="el-GR"/>
        </w:rPr>
        <w:t xml:space="preserve">% </w:t>
      </w:r>
      <w:r w:rsidR="0027306D" w:rsidRPr="00AE0320">
        <w:rPr>
          <w:rFonts w:ascii="Ping LCG Regular" w:hAnsi="Ping LCG Regular" w:cs="Arial"/>
          <w:spacing w:val="-14"/>
          <w:sz w:val="22"/>
          <w:szCs w:val="22"/>
          <w:lang w:val="el-GR"/>
        </w:rPr>
        <w:t xml:space="preserve">σε σχέση με το γ’ τρίμηνο του 2022 </w:t>
      </w:r>
      <w:r w:rsidR="00725563" w:rsidRPr="00AE0320">
        <w:rPr>
          <w:rFonts w:ascii="Ping LCG Regular" w:hAnsi="Ping LCG Regular" w:cs="Arial"/>
          <w:spacing w:val="-14"/>
          <w:sz w:val="22"/>
          <w:szCs w:val="22"/>
          <w:lang w:val="el-GR"/>
        </w:rPr>
        <w:t>αντιστρέφοντας την εικόνα που παρουσίασαν τα προηγούμενα τρίμηνα. Σ</w:t>
      </w:r>
      <w:r w:rsidR="0027306D" w:rsidRPr="00AE0320">
        <w:rPr>
          <w:rFonts w:ascii="Ping LCG Regular" w:hAnsi="Ping LCG Regular" w:cs="Arial"/>
          <w:spacing w:val="-14"/>
          <w:sz w:val="22"/>
          <w:szCs w:val="22"/>
          <w:lang w:val="el-GR"/>
        </w:rPr>
        <w:t xml:space="preserve">ε επίπεδο εννεαμήνου </w:t>
      </w:r>
      <w:r w:rsidR="00520F36" w:rsidRPr="00AE0320">
        <w:rPr>
          <w:rFonts w:ascii="Ping LCG Regular" w:hAnsi="Ping LCG Regular" w:cs="Arial"/>
          <w:spacing w:val="-14"/>
          <w:sz w:val="22"/>
          <w:szCs w:val="22"/>
          <w:lang w:val="el-GR"/>
        </w:rPr>
        <w:t xml:space="preserve">η εγχώρια ζήτηση μειώθηκε κατά </w:t>
      </w:r>
      <w:r w:rsidR="0015348C" w:rsidRPr="00AE0320">
        <w:rPr>
          <w:rFonts w:ascii="Ping LCG Regular" w:hAnsi="Ping LCG Regular" w:cs="Arial"/>
          <w:spacing w:val="-14"/>
          <w:sz w:val="22"/>
          <w:szCs w:val="22"/>
          <w:lang w:val="el-GR"/>
        </w:rPr>
        <w:t>2,</w:t>
      </w:r>
      <w:r w:rsidR="00A13FBF">
        <w:rPr>
          <w:rFonts w:ascii="Ping LCG Regular" w:hAnsi="Ping LCG Regular" w:cs="Arial"/>
          <w:spacing w:val="-14"/>
          <w:sz w:val="22"/>
          <w:szCs w:val="22"/>
          <w:lang w:val="el-GR"/>
        </w:rPr>
        <w:t>6</w:t>
      </w:r>
      <w:r w:rsidR="009732F9" w:rsidRPr="00AE0320">
        <w:rPr>
          <w:rFonts w:ascii="Ping LCG Regular" w:hAnsi="Ping LCG Regular" w:cs="Arial"/>
          <w:spacing w:val="-14"/>
          <w:sz w:val="22"/>
          <w:szCs w:val="22"/>
          <w:lang w:val="el-GR"/>
        </w:rPr>
        <w:t>%</w:t>
      </w:r>
      <w:r w:rsidR="008D3B0A" w:rsidRPr="00AE0320">
        <w:rPr>
          <w:rFonts w:ascii="Ping LCG Regular" w:hAnsi="Ping LCG Regular" w:cs="Arial"/>
          <w:spacing w:val="-14"/>
          <w:sz w:val="22"/>
          <w:szCs w:val="22"/>
          <w:lang w:val="el-GR"/>
        </w:rPr>
        <w:t xml:space="preserve"> ενώ η</w:t>
      </w:r>
      <w:r w:rsidR="00DD1422" w:rsidRPr="00AE0320">
        <w:rPr>
          <w:rFonts w:ascii="Ping LCG Regular" w:hAnsi="Ping LCG Regular" w:cs="Arial"/>
          <w:spacing w:val="-14"/>
          <w:sz w:val="22"/>
          <w:szCs w:val="22"/>
          <w:lang w:val="el-GR"/>
        </w:rPr>
        <w:t xml:space="preserve"> συνολική ζήτηση</w:t>
      </w:r>
      <w:r w:rsidR="002C3FFD" w:rsidRPr="00AE0320">
        <w:rPr>
          <w:rFonts w:ascii="Ping LCG Regular" w:hAnsi="Ping LCG Regular" w:cs="Arial"/>
          <w:spacing w:val="-14"/>
          <w:sz w:val="22"/>
          <w:szCs w:val="22"/>
          <w:lang w:val="el-GR"/>
        </w:rPr>
        <w:t>, περιλαμβάνοντας δηλαδή την ηλεκτρική ενέργεια για εξαγωγές, κατ</w:t>
      </w:r>
      <w:r w:rsidR="00AE0320" w:rsidRPr="00AE0320">
        <w:rPr>
          <w:rFonts w:ascii="Ping LCG Regular" w:hAnsi="Ping LCG Regular" w:cs="Arial"/>
          <w:spacing w:val="-14"/>
          <w:sz w:val="22"/>
          <w:szCs w:val="22"/>
          <w:lang w:val="el-GR"/>
        </w:rPr>
        <w:t>έγραψε</w:t>
      </w:r>
      <w:r w:rsidR="002C3FFD" w:rsidRPr="00AE0320">
        <w:rPr>
          <w:rFonts w:ascii="Ping LCG Regular" w:hAnsi="Ping LCG Regular" w:cs="Arial"/>
          <w:spacing w:val="-14"/>
          <w:sz w:val="22"/>
          <w:szCs w:val="22"/>
          <w:lang w:val="el-GR"/>
        </w:rPr>
        <w:t xml:space="preserve"> </w:t>
      </w:r>
      <w:r w:rsidR="00127B95" w:rsidRPr="00AE0320">
        <w:rPr>
          <w:rFonts w:ascii="Ping LCG Regular" w:hAnsi="Ping LCG Regular" w:cs="Arial"/>
          <w:spacing w:val="-14"/>
          <w:sz w:val="22"/>
          <w:szCs w:val="22"/>
          <w:lang w:val="el-GR"/>
        </w:rPr>
        <w:t>μείωση</w:t>
      </w:r>
      <w:r w:rsidR="002C3FFD" w:rsidRPr="00AE0320">
        <w:rPr>
          <w:rFonts w:ascii="Ping LCG Regular" w:hAnsi="Ping LCG Regular" w:cs="Arial"/>
          <w:spacing w:val="-14"/>
          <w:sz w:val="22"/>
          <w:szCs w:val="22"/>
          <w:lang w:val="el-GR"/>
        </w:rPr>
        <w:t xml:space="preserve"> </w:t>
      </w:r>
      <w:r w:rsidR="0015348C" w:rsidRPr="00AE0320">
        <w:rPr>
          <w:rFonts w:ascii="Ping LCG Regular" w:hAnsi="Ping LCG Regular" w:cs="Arial"/>
          <w:spacing w:val="-14"/>
          <w:sz w:val="22"/>
          <w:szCs w:val="22"/>
          <w:lang w:val="el-GR"/>
        </w:rPr>
        <w:t>3</w:t>
      </w:r>
      <w:r w:rsidR="0088011F" w:rsidRPr="00AE0320">
        <w:rPr>
          <w:rFonts w:ascii="Ping LCG Regular" w:hAnsi="Ping LCG Regular" w:cs="Arial"/>
          <w:spacing w:val="-14"/>
          <w:sz w:val="22"/>
          <w:szCs w:val="22"/>
          <w:lang w:val="el-GR"/>
        </w:rPr>
        <w:t>,</w:t>
      </w:r>
      <w:r w:rsidR="00242595">
        <w:rPr>
          <w:rFonts w:ascii="Ping LCG Regular" w:hAnsi="Ping LCG Regular" w:cs="Arial"/>
          <w:spacing w:val="-14"/>
          <w:sz w:val="22"/>
          <w:szCs w:val="22"/>
          <w:lang w:val="el-GR"/>
        </w:rPr>
        <w:t>5</w:t>
      </w:r>
      <w:r w:rsidR="0088011F" w:rsidRPr="00AE0320">
        <w:rPr>
          <w:rFonts w:ascii="Ping LCG Regular" w:hAnsi="Ping LCG Regular" w:cs="Arial"/>
          <w:spacing w:val="-14"/>
          <w:sz w:val="22"/>
          <w:szCs w:val="22"/>
          <w:lang w:val="el-GR"/>
        </w:rPr>
        <w:t>%</w:t>
      </w:r>
      <w:r w:rsidR="008A21FD">
        <w:rPr>
          <w:rFonts w:ascii="Ping LCG Regular" w:hAnsi="Ping LCG Regular" w:cs="Arial"/>
          <w:spacing w:val="-14"/>
          <w:sz w:val="22"/>
          <w:szCs w:val="22"/>
          <w:lang w:val="el-GR"/>
        </w:rPr>
        <w:t xml:space="preserve"> λόγω </w:t>
      </w:r>
      <w:r w:rsidR="00CA3BB3">
        <w:rPr>
          <w:rFonts w:ascii="Ping LCG Regular" w:hAnsi="Ping LCG Regular" w:cs="Arial"/>
          <w:spacing w:val="-14"/>
          <w:sz w:val="22"/>
          <w:szCs w:val="22"/>
          <w:lang w:val="el-GR"/>
        </w:rPr>
        <w:t>της μείωσης των εξαγωγών</w:t>
      </w:r>
      <w:r w:rsidR="004B5093" w:rsidRPr="00AE0320">
        <w:rPr>
          <w:rFonts w:ascii="Ping LCG Regular" w:hAnsi="Ping LCG Regular" w:cs="Arial"/>
          <w:spacing w:val="-14"/>
          <w:sz w:val="22"/>
          <w:szCs w:val="22"/>
          <w:lang w:val="el-GR"/>
        </w:rPr>
        <w:t>.</w:t>
      </w:r>
      <w:r w:rsidR="004B5093">
        <w:rPr>
          <w:rFonts w:ascii="Ping LCG Regular" w:hAnsi="Ping LCG Regular" w:cs="Arial"/>
          <w:spacing w:val="-14"/>
          <w:sz w:val="22"/>
          <w:szCs w:val="22"/>
          <w:lang w:val="el-GR"/>
        </w:rPr>
        <w:t xml:space="preserve"> </w:t>
      </w:r>
    </w:p>
    <w:p w14:paraId="093D56C8" w14:textId="619FBC87" w:rsidR="00413F79" w:rsidRPr="005B47C4" w:rsidRDefault="00BA4AF5" w:rsidP="0025244D">
      <w:pPr>
        <w:autoSpaceDE w:val="0"/>
        <w:autoSpaceDN w:val="0"/>
        <w:adjustRightInd w:val="0"/>
        <w:jc w:val="both"/>
        <w:rPr>
          <w:rFonts w:ascii="Ping LCG Regular" w:hAnsi="Ping LCG Regular" w:cs="Arial"/>
          <w:spacing w:val="-14"/>
          <w:sz w:val="22"/>
          <w:szCs w:val="22"/>
          <w:lang w:val="el-GR"/>
        </w:rPr>
      </w:pPr>
      <w:r>
        <w:rPr>
          <w:rFonts w:ascii="Ping LCG Regular" w:hAnsi="Ping LCG Regular" w:cs="Arial"/>
          <w:spacing w:val="-14"/>
          <w:sz w:val="22"/>
          <w:szCs w:val="22"/>
          <w:lang w:val="el-GR"/>
        </w:rPr>
        <w:t xml:space="preserve"> </w:t>
      </w:r>
    </w:p>
    <w:p w14:paraId="1136EFC1" w14:textId="68BC570F" w:rsidR="00413F79" w:rsidRPr="00E629EF" w:rsidRDefault="00413F79" w:rsidP="0025244D">
      <w:pPr>
        <w:autoSpaceDE w:val="0"/>
        <w:autoSpaceDN w:val="0"/>
        <w:adjustRightInd w:val="0"/>
        <w:jc w:val="both"/>
        <w:rPr>
          <w:rFonts w:ascii="Ping LCG Regular" w:hAnsi="Ping LCG Regular" w:cs="Arial"/>
          <w:spacing w:val="-14"/>
          <w:sz w:val="22"/>
          <w:szCs w:val="22"/>
          <w:lang w:val="el-GR"/>
        </w:rPr>
      </w:pPr>
      <w:r w:rsidRPr="00E629EF">
        <w:rPr>
          <w:rFonts w:ascii="Ping LCG Regular" w:hAnsi="Ping LCG Regular" w:cs="Arial"/>
          <w:spacing w:val="-14"/>
          <w:sz w:val="22"/>
          <w:szCs w:val="22"/>
          <w:lang w:val="el-GR"/>
        </w:rPr>
        <w:t xml:space="preserve">Το μέσο μερίδιο της ΔΕΗ στην αγορά προμήθειας στο σύνολο της χώρας μειώθηκε σε </w:t>
      </w:r>
      <w:r w:rsidR="00E629EF" w:rsidRPr="00E629EF">
        <w:rPr>
          <w:rFonts w:ascii="Ping LCG Regular" w:hAnsi="Ping LCG Regular" w:cs="Arial"/>
          <w:spacing w:val="-14"/>
          <w:sz w:val="22"/>
          <w:szCs w:val="22"/>
          <w:lang w:val="el-GR"/>
        </w:rPr>
        <w:t>5</w:t>
      </w:r>
      <w:r w:rsidR="00DD6E17">
        <w:rPr>
          <w:rFonts w:ascii="Ping LCG Regular" w:hAnsi="Ping LCG Regular" w:cs="Arial"/>
          <w:spacing w:val="-14"/>
          <w:sz w:val="22"/>
          <w:szCs w:val="22"/>
          <w:lang w:val="el-GR"/>
        </w:rPr>
        <w:t>7,5</w:t>
      </w:r>
      <w:r w:rsidRPr="00E629EF">
        <w:rPr>
          <w:rFonts w:ascii="Ping LCG Regular" w:hAnsi="Ping LCG Regular" w:cs="Arial"/>
          <w:spacing w:val="-14"/>
          <w:sz w:val="22"/>
          <w:szCs w:val="22"/>
          <w:lang w:val="el-GR"/>
        </w:rPr>
        <w:t xml:space="preserve">% το </w:t>
      </w:r>
      <w:r w:rsidR="001B2EC6">
        <w:rPr>
          <w:rFonts w:ascii="Ping LCG Regular" w:hAnsi="Ping LCG Regular" w:cs="Arial"/>
          <w:spacing w:val="-14"/>
          <w:sz w:val="22"/>
          <w:szCs w:val="22"/>
          <w:lang w:val="el-GR"/>
        </w:rPr>
        <w:t>εννε</w:t>
      </w:r>
      <w:r w:rsidR="00BD2E3A" w:rsidRPr="00E629EF">
        <w:rPr>
          <w:rFonts w:ascii="Ping LCG Regular" w:hAnsi="Ping LCG Regular" w:cs="Arial"/>
          <w:spacing w:val="-14"/>
          <w:sz w:val="22"/>
          <w:szCs w:val="22"/>
          <w:lang w:val="el-GR"/>
        </w:rPr>
        <w:t>ά</w:t>
      </w:r>
      <w:r w:rsidRPr="00E629EF">
        <w:rPr>
          <w:rFonts w:ascii="Ping LCG Regular" w:hAnsi="Ping LCG Regular" w:cs="Arial"/>
          <w:spacing w:val="-14"/>
          <w:sz w:val="22"/>
          <w:szCs w:val="22"/>
          <w:lang w:val="el-GR"/>
        </w:rPr>
        <w:t>μηνο 2023 από 6</w:t>
      </w:r>
      <w:r w:rsidR="00627DB1" w:rsidRPr="0081378C">
        <w:rPr>
          <w:rFonts w:ascii="Ping LCG Regular" w:hAnsi="Ping LCG Regular" w:cs="Arial"/>
          <w:spacing w:val="-14"/>
          <w:sz w:val="22"/>
          <w:szCs w:val="22"/>
          <w:lang w:val="el-GR"/>
        </w:rPr>
        <w:t>3</w:t>
      </w:r>
      <w:r w:rsidRPr="00E629EF">
        <w:rPr>
          <w:rFonts w:ascii="Ping LCG Regular" w:hAnsi="Ping LCG Regular" w:cs="Arial"/>
          <w:spacing w:val="-14"/>
          <w:sz w:val="22"/>
          <w:szCs w:val="22"/>
          <w:lang w:val="el-GR"/>
        </w:rPr>
        <w:t>% τ</w:t>
      </w:r>
      <w:r w:rsidR="00BD2E3A" w:rsidRPr="00E629EF">
        <w:rPr>
          <w:rFonts w:ascii="Ping LCG Regular" w:hAnsi="Ping LCG Regular" w:cs="Arial"/>
          <w:spacing w:val="-14"/>
          <w:sz w:val="22"/>
          <w:szCs w:val="22"/>
          <w:lang w:val="el-GR"/>
        </w:rPr>
        <w:t xml:space="preserve">ην αντίστοιχη περίοδο </w:t>
      </w:r>
      <w:r w:rsidRPr="00E629EF">
        <w:rPr>
          <w:rFonts w:ascii="Ping LCG Regular" w:hAnsi="Ping LCG Regular" w:cs="Arial"/>
          <w:spacing w:val="-14"/>
          <w:sz w:val="22"/>
          <w:szCs w:val="22"/>
          <w:lang w:val="el-GR"/>
        </w:rPr>
        <w:t>του 2022. Ειδικότερα, το μέσο μερίδιο αγοράς στο Διασυνδεδεμένο Σύστημα</w:t>
      </w:r>
      <w:r w:rsidR="00865614">
        <w:rPr>
          <w:rStyle w:val="FootnoteReference"/>
          <w:rFonts w:ascii="Ping LCG Regular" w:hAnsi="Ping LCG Regular" w:cs="Arial"/>
          <w:spacing w:val="-14"/>
          <w:sz w:val="22"/>
          <w:szCs w:val="22"/>
          <w:lang w:val="el-GR"/>
        </w:rPr>
        <w:footnoteReference w:id="2"/>
      </w:r>
      <w:r w:rsidRPr="00E629EF">
        <w:rPr>
          <w:rFonts w:ascii="Ping LCG Regular" w:hAnsi="Ping LCG Regular" w:cs="Arial"/>
          <w:spacing w:val="-14"/>
          <w:sz w:val="22"/>
          <w:szCs w:val="22"/>
          <w:lang w:val="el-GR"/>
        </w:rPr>
        <w:t xml:space="preserve"> μειώθηκε σε </w:t>
      </w:r>
      <w:r w:rsidR="00481091" w:rsidRPr="00E629EF">
        <w:rPr>
          <w:rFonts w:ascii="Ping LCG Regular" w:hAnsi="Ping LCG Regular" w:cs="Arial"/>
          <w:spacing w:val="-14"/>
          <w:sz w:val="22"/>
          <w:szCs w:val="22"/>
          <w:lang w:val="el-GR"/>
        </w:rPr>
        <w:t>5</w:t>
      </w:r>
      <w:r w:rsidR="000F2F2E">
        <w:rPr>
          <w:rFonts w:ascii="Ping LCG Regular" w:hAnsi="Ping LCG Regular" w:cs="Arial"/>
          <w:spacing w:val="-14"/>
          <w:sz w:val="22"/>
          <w:szCs w:val="22"/>
          <w:lang w:val="el-GR"/>
        </w:rPr>
        <w:t>4,1</w:t>
      </w:r>
      <w:r w:rsidRPr="00E629EF">
        <w:rPr>
          <w:rFonts w:ascii="Ping LCG Regular" w:hAnsi="Ping LCG Regular" w:cs="Arial"/>
          <w:spacing w:val="-14"/>
          <w:sz w:val="22"/>
          <w:szCs w:val="22"/>
          <w:lang w:val="el-GR"/>
        </w:rPr>
        <w:t xml:space="preserve">% τον </w:t>
      </w:r>
      <w:r w:rsidR="000F2F2E">
        <w:rPr>
          <w:rFonts w:ascii="Ping LCG Regular" w:hAnsi="Ping LCG Regular" w:cs="Arial"/>
          <w:spacing w:val="-14"/>
          <w:sz w:val="22"/>
          <w:szCs w:val="22"/>
          <w:lang w:val="el-GR"/>
        </w:rPr>
        <w:t>Σεπτ</w:t>
      </w:r>
      <w:r w:rsidR="004072A5">
        <w:rPr>
          <w:rFonts w:ascii="Ping LCG Regular" w:hAnsi="Ping LCG Regular" w:cs="Arial"/>
          <w:spacing w:val="-14"/>
          <w:sz w:val="22"/>
          <w:szCs w:val="22"/>
          <w:lang w:val="el-GR"/>
        </w:rPr>
        <w:t>έμβριο</w:t>
      </w:r>
      <w:r w:rsidRPr="00E629EF">
        <w:rPr>
          <w:rFonts w:ascii="Ping LCG Regular" w:hAnsi="Ping LCG Regular" w:cs="Arial"/>
          <w:spacing w:val="-14"/>
          <w:sz w:val="22"/>
          <w:szCs w:val="22"/>
          <w:lang w:val="el-GR"/>
        </w:rPr>
        <w:t xml:space="preserve"> 2023 (από 6</w:t>
      </w:r>
      <w:r w:rsidR="004072A5">
        <w:rPr>
          <w:rFonts w:ascii="Ping LCG Regular" w:hAnsi="Ping LCG Regular" w:cs="Arial"/>
          <w:spacing w:val="-14"/>
          <w:sz w:val="22"/>
          <w:szCs w:val="22"/>
          <w:lang w:val="el-GR"/>
        </w:rPr>
        <w:t>2</w:t>
      </w:r>
      <w:r w:rsidRPr="00E629EF">
        <w:rPr>
          <w:rFonts w:ascii="Ping LCG Regular" w:hAnsi="Ping LCG Regular" w:cs="Arial"/>
          <w:spacing w:val="-14"/>
          <w:sz w:val="22"/>
          <w:szCs w:val="22"/>
          <w:lang w:val="el-GR"/>
        </w:rPr>
        <w:t xml:space="preserve">% τον </w:t>
      </w:r>
      <w:r w:rsidR="004072A5">
        <w:rPr>
          <w:rFonts w:ascii="Ping LCG Regular" w:hAnsi="Ping LCG Regular" w:cs="Arial"/>
          <w:spacing w:val="-14"/>
          <w:sz w:val="22"/>
          <w:szCs w:val="22"/>
          <w:lang w:val="el-GR"/>
        </w:rPr>
        <w:t>Σεπτέμβριο</w:t>
      </w:r>
      <w:r w:rsidRPr="00E629EF">
        <w:rPr>
          <w:rFonts w:ascii="Ping LCG Regular" w:hAnsi="Ping LCG Regular" w:cs="Arial"/>
          <w:spacing w:val="-14"/>
          <w:sz w:val="22"/>
          <w:szCs w:val="22"/>
          <w:lang w:val="el-GR"/>
        </w:rPr>
        <w:t xml:space="preserve"> 2022), ενώ το μέσο μερίδιο ανά τάση, ήταν </w:t>
      </w:r>
      <w:r w:rsidR="00934270">
        <w:rPr>
          <w:rFonts w:ascii="Ping LCG Regular" w:hAnsi="Ping LCG Regular" w:cs="Arial"/>
          <w:spacing w:val="-14"/>
          <w:sz w:val="22"/>
          <w:szCs w:val="22"/>
          <w:lang w:val="el-GR"/>
        </w:rPr>
        <w:t>4</w:t>
      </w:r>
      <w:r w:rsidR="006E31FA">
        <w:rPr>
          <w:rFonts w:ascii="Ping LCG Regular" w:hAnsi="Ping LCG Regular" w:cs="Arial"/>
          <w:spacing w:val="-14"/>
          <w:sz w:val="22"/>
          <w:szCs w:val="22"/>
          <w:lang w:val="el-GR"/>
        </w:rPr>
        <w:t>4</w:t>
      </w:r>
      <w:r w:rsidRPr="00E629EF">
        <w:rPr>
          <w:rFonts w:ascii="Ping LCG Regular" w:hAnsi="Ping LCG Regular" w:cs="Arial"/>
          <w:spacing w:val="-14"/>
          <w:sz w:val="22"/>
          <w:szCs w:val="22"/>
          <w:lang w:val="el-GR"/>
        </w:rPr>
        <w:t xml:space="preserve">% (από </w:t>
      </w:r>
      <w:r w:rsidR="00C739D9">
        <w:rPr>
          <w:rFonts w:ascii="Ping LCG Regular" w:hAnsi="Ping LCG Regular" w:cs="Arial"/>
          <w:spacing w:val="-14"/>
          <w:sz w:val="22"/>
          <w:szCs w:val="22"/>
          <w:lang w:val="el-GR"/>
        </w:rPr>
        <w:t>8</w:t>
      </w:r>
      <w:r w:rsidR="00514D4A">
        <w:rPr>
          <w:rFonts w:ascii="Ping LCG Regular" w:hAnsi="Ping LCG Regular" w:cs="Arial"/>
          <w:spacing w:val="-14"/>
          <w:sz w:val="22"/>
          <w:szCs w:val="22"/>
          <w:lang w:val="el-GR"/>
        </w:rPr>
        <w:t>1,9</w:t>
      </w:r>
      <w:r w:rsidRPr="00E629EF">
        <w:rPr>
          <w:rFonts w:ascii="Ping LCG Regular" w:hAnsi="Ping LCG Regular" w:cs="Arial"/>
          <w:spacing w:val="-14"/>
          <w:sz w:val="22"/>
          <w:szCs w:val="22"/>
          <w:lang w:val="el-GR"/>
        </w:rPr>
        <w:t>%) στην Υψηλή Τάση, 3</w:t>
      </w:r>
      <w:r w:rsidR="006E31FA">
        <w:rPr>
          <w:rFonts w:ascii="Ping LCG Regular" w:hAnsi="Ping LCG Regular" w:cs="Arial"/>
          <w:spacing w:val="-14"/>
          <w:sz w:val="22"/>
          <w:szCs w:val="22"/>
          <w:lang w:val="el-GR"/>
        </w:rPr>
        <w:t>4</w:t>
      </w:r>
      <w:r w:rsidRPr="00E629EF">
        <w:rPr>
          <w:rFonts w:ascii="Ping LCG Regular" w:hAnsi="Ping LCG Regular" w:cs="Arial"/>
          <w:spacing w:val="-14"/>
          <w:sz w:val="22"/>
          <w:szCs w:val="22"/>
          <w:lang w:val="el-GR"/>
        </w:rPr>
        <w:t xml:space="preserve">% (από </w:t>
      </w:r>
      <w:r w:rsidR="009E0E5B" w:rsidRPr="00E629EF">
        <w:rPr>
          <w:rFonts w:ascii="Ping LCG Regular" w:hAnsi="Ping LCG Regular" w:cs="Arial"/>
          <w:spacing w:val="-14"/>
          <w:sz w:val="22"/>
          <w:szCs w:val="22"/>
          <w:lang w:val="el-GR"/>
        </w:rPr>
        <w:t>3</w:t>
      </w:r>
      <w:r w:rsidR="007379BA">
        <w:rPr>
          <w:rFonts w:ascii="Ping LCG Regular" w:hAnsi="Ping LCG Regular" w:cs="Arial"/>
          <w:spacing w:val="-14"/>
          <w:sz w:val="22"/>
          <w:szCs w:val="22"/>
          <w:lang w:val="el-GR"/>
        </w:rPr>
        <w:t>7</w:t>
      </w:r>
      <w:r w:rsidR="009E0E5B" w:rsidRPr="00E629EF">
        <w:rPr>
          <w:rFonts w:ascii="Ping LCG Regular" w:hAnsi="Ping LCG Regular" w:cs="Arial"/>
          <w:spacing w:val="-14"/>
          <w:sz w:val="22"/>
          <w:szCs w:val="22"/>
          <w:lang w:val="el-GR"/>
        </w:rPr>
        <w:t>,</w:t>
      </w:r>
      <w:r w:rsidR="007379BA">
        <w:rPr>
          <w:rFonts w:ascii="Ping LCG Regular" w:hAnsi="Ping LCG Regular" w:cs="Arial"/>
          <w:spacing w:val="-14"/>
          <w:sz w:val="22"/>
          <w:szCs w:val="22"/>
          <w:lang w:val="el-GR"/>
        </w:rPr>
        <w:t>5</w:t>
      </w:r>
      <w:r w:rsidRPr="00E629EF">
        <w:rPr>
          <w:rFonts w:ascii="Ping LCG Regular" w:hAnsi="Ping LCG Regular" w:cs="Arial"/>
          <w:spacing w:val="-14"/>
          <w:sz w:val="22"/>
          <w:szCs w:val="22"/>
          <w:lang w:val="el-GR"/>
        </w:rPr>
        <w:t>%) στη Μέση Τάση και 6</w:t>
      </w:r>
      <w:r w:rsidR="00C739D9">
        <w:rPr>
          <w:rFonts w:ascii="Ping LCG Regular" w:hAnsi="Ping LCG Regular" w:cs="Arial"/>
          <w:spacing w:val="-14"/>
          <w:sz w:val="22"/>
          <w:szCs w:val="22"/>
          <w:lang w:val="el-GR"/>
        </w:rPr>
        <w:t>5</w:t>
      </w:r>
      <w:r w:rsidRPr="00E629EF">
        <w:rPr>
          <w:rFonts w:ascii="Ping LCG Regular" w:hAnsi="Ping LCG Regular" w:cs="Arial"/>
          <w:spacing w:val="-14"/>
          <w:sz w:val="22"/>
          <w:szCs w:val="22"/>
          <w:lang w:val="el-GR"/>
        </w:rPr>
        <w:t>,</w:t>
      </w:r>
      <w:r w:rsidR="00C739D9">
        <w:rPr>
          <w:rFonts w:ascii="Ping LCG Regular" w:hAnsi="Ping LCG Regular" w:cs="Arial"/>
          <w:spacing w:val="-14"/>
          <w:sz w:val="22"/>
          <w:szCs w:val="22"/>
          <w:lang w:val="el-GR"/>
        </w:rPr>
        <w:t>1</w:t>
      </w:r>
      <w:r w:rsidRPr="00E629EF">
        <w:rPr>
          <w:rFonts w:ascii="Ping LCG Regular" w:hAnsi="Ping LCG Regular" w:cs="Arial"/>
          <w:spacing w:val="-14"/>
          <w:sz w:val="22"/>
          <w:szCs w:val="22"/>
          <w:lang w:val="el-GR"/>
        </w:rPr>
        <w:t>% (από 66</w:t>
      </w:r>
      <w:r w:rsidR="009E0E5B" w:rsidRPr="00E629EF">
        <w:rPr>
          <w:rFonts w:ascii="Ping LCG Regular" w:hAnsi="Ping LCG Regular" w:cs="Arial"/>
          <w:spacing w:val="-14"/>
          <w:sz w:val="22"/>
          <w:szCs w:val="22"/>
          <w:lang w:val="el-GR"/>
        </w:rPr>
        <w:t>.6</w:t>
      </w:r>
      <w:r w:rsidRPr="00E629EF">
        <w:rPr>
          <w:rFonts w:ascii="Ping LCG Regular" w:hAnsi="Ping LCG Regular" w:cs="Arial"/>
          <w:spacing w:val="-14"/>
          <w:sz w:val="22"/>
          <w:szCs w:val="22"/>
          <w:lang w:val="el-GR"/>
        </w:rPr>
        <w:t>%) στη Χαμηλή Τάση.</w:t>
      </w:r>
    </w:p>
    <w:p w14:paraId="03988254" w14:textId="77777777" w:rsidR="00413F79" w:rsidRPr="00E629EF" w:rsidRDefault="00413F79" w:rsidP="0025244D">
      <w:pPr>
        <w:autoSpaceDE w:val="0"/>
        <w:autoSpaceDN w:val="0"/>
        <w:adjustRightInd w:val="0"/>
        <w:jc w:val="both"/>
        <w:rPr>
          <w:rFonts w:ascii="Ping LCG Regular" w:hAnsi="Ping LCG Regular" w:cs="Arial"/>
          <w:spacing w:val="-14"/>
          <w:sz w:val="22"/>
          <w:szCs w:val="22"/>
          <w:lang w:val="el-GR"/>
        </w:rPr>
      </w:pPr>
    </w:p>
    <w:p w14:paraId="0CCC815F" w14:textId="07817673" w:rsidR="00413F79" w:rsidRPr="00C74A18" w:rsidRDefault="00413F79" w:rsidP="0025244D">
      <w:pPr>
        <w:autoSpaceDE w:val="0"/>
        <w:autoSpaceDN w:val="0"/>
        <w:adjustRightInd w:val="0"/>
        <w:jc w:val="both"/>
        <w:rPr>
          <w:rFonts w:ascii="Ping LCG Regular" w:hAnsi="Ping LCG Regular" w:cs="Arial"/>
          <w:spacing w:val="-14"/>
          <w:sz w:val="22"/>
          <w:szCs w:val="22"/>
          <w:lang w:val="el-GR"/>
        </w:rPr>
      </w:pPr>
      <w:r w:rsidRPr="0029432B">
        <w:rPr>
          <w:rFonts w:ascii="Ping LCG Regular" w:hAnsi="Ping LCG Regular" w:cs="Arial"/>
          <w:spacing w:val="-14"/>
          <w:sz w:val="22"/>
          <w:szCs w:val="22"/>
          <w:lang w:val="el-GR"/>
        </w:rPr>
        <w:t xml:space="preserve">Στην παραγωγή ηλεκτρικής ενέργειας, το μέσο μερίδιο της ΔΕΗ μειώθηκε σε </w:t>
      </w:r>
      <w:r w:rsidR="0029432B" w:rsidRPr="0029432B">
        <w:rPr>
          <w:rFonts w:ascii="Ping LCG Regular" w:hAnsi="Ping LCG Regular" w:cs="Arial"/>
          <w:spacing w:val="-14"/>
          <w:sz w:val="22"/>
          <w:szCs w:val="22"/>
          <w:lang w:val="el-GR"/>
        </w:rPr>
        <w:t>3</w:t>
      </w:r>
      <w:r w:rsidR="00B22561" w:rsidRPr="00B22561">
        <w:rPr>
          <w:rFonts w:ascii="Ping LCG Regular" w:hAnsi="Ping LCG Regular" w:cs="Arial"/>
          <w:spacing w:val="-14"/>
          <w:sz w:val="22"/>
          <w:szCs w:val="22"/>
          <w:lang w:val="el-GR"/>
        </w:rPr>
        <w:t>8</w:t>
      </w:r>
      <w:r w:rsidR="0029432B" w:rsidRPr="0029432B">
        <w:rPr>
          <w:rFonts w:ascii="Ping LCG Regular" w:hAnsi="Ping LCG Regular" w:cs="Arial"/>
          <w:spacing w:val="-14"/>
          <w:sz w:val="22"/>
          <w:szCs w:val="22"/>
          <w:lang w:val="el-GR"/>
        </w:rPr>
        <w:t>,</w:t>
      </w:r>
      <w:r w:rsidR="00242595">
        <w:rPr>
          <w:rFonts w:ascii="Ping LCG Regular" w:hAnsi="Ping LCG Regular" w:cs="Arial"/>
          <w:spacing w:val="-14"/>
          <w:sz w:val="22"/>
          <w:szCs w:val="22"/>
          <w:lang w:val="el-GR"/>
        </w:rPr>
        <w:t>2</w:t>
      </w:r>
      <w:r w:rsidRPr="0029432B">
        <w:rPr>
          <w:rFonts w:ascii="Ping LCG Regular" w:hAnsi="Ping LCG Regular" w:cs="Arial"/>
          <w:spacing w:val="-14"/>
          <w:sz w:val="22"/>
          <w:szCs w:val="22"/>
          <w:lang w:val="el-GR"/>
        </w:rPr>
        <w:t xml:space="preserve">% το </w:t>
      </w:r>
      <w:r w:rsidR="000E151A" w:rsidRPr="0029432B">
        <w:rPr>
          <w:rFonts w:ascii="Ping LCG Regular" w:hAnsi="Ping LCG Regular" w:cs="Arial"/>
          <w:spacing w:val="-14"/>
          <w:sz w:val="22"/>
          <w:szCs w:val="22"/>
          <w:lang w:val="el-GR"/>
        </w:rPr>
        <w:t>ε</w:t>
      </w:r>
      <w:r w:rsidR="00755640">
        <w:rPr>
          <w:rFonts w:ascii="Ping LCG Regular" w:hAnsi="Ping LCG Regular" w:cs="Arial"/>
          <w:spacing w:val="-14"/>
          <w:sz w:val="22"/>
          <w:szCs w:val="22"/>
          <w:lang w:val="el-GR"/>
        </w:rPr>
        <w:t>ννε</w:t>
      </w:r>
      <w:r w:rsidR="000E151A" w:rsidRPr="0029432B">
        <w:rPr>
          <w:rFonts w:ascii="Ping LCG Regular" w:hAnsi="Ping LCG Regular" w:cs="Arial"/>
          <w:spacing w:val="-14"/>
          <w:sz w:val="22"/>
          <w:szCs w:val="22"/>
          <w:lang w:val="el-GR"/>
        </w:rPr>
        <w:t>ά</w:t>
      </w:r>
      <w:r w:rsidRPr="0029432B">
        <w:rPr>
          <w:rFonts w:ascii="Ping LCG Regular" w:hAnsi="Ping LCG Regular" w:cs="Arial"/>
          <w:spacing w:val="-14"/>
          <w:sz w:val="22"/>
          <w:szCs w:val="22"/>
          <w:lang w:val="el-GR"/>
        </w:rPr>
        <w:t xml:space="preserve">μηνο 2023 από </w:t>
      </w:r>
      <w:r w:rsidR="00FE164C" w:rsidRPr="00FE164C">
        <w:rPr>
          <w:rFonts w:ascii="Ping LCG Regular" w:hAnsi="Ping LCG Regular" w:cs="Arial"/>
          <w:spacing w:val="-14"/>
          <w:sz w:val="22"/>
          <w:szCs w:val="22"/>
          <w:lang w:val="el-GR"/>
        </w:rPr>
        <w:t>44,9</w:t>
      </w:r>
      <w:r w:rsidRPr="0029432B">
        <w:rPr>
          <w:rFonts w:ascii="Ping LCG Regular" w:hAnsi="Ping LCG Regular" w:cs="Arial"/>
          <w:spacing w:val="-14"/>
          <w:sz w:val="22"/>
          <w:szCs w:val="22"/>
          <w:lang w:val="el-GR"/>
        </w:rPr>
        <w:t xml:space="preserve">% το </w:t>
      </w:r>
      <w:r w:rsidR="00E95F85">
        <w:rPr>
          <w:rFonts w:ascii="Ping LCG Regular" w:hAnsi="Ping LCG Regular" w:cs="Arial"/>
          <w:spacing w:val="-14"/>
          <w:sz w:val="22"/>
          <w:szCs w:val="22"/>
          <w:lang w:val="el-GR"/>
        </w:rPr>
        <w:t>εννε</w:t>
      </w:r>
      <w:r w:rsidR="000E151A" w:rsidRPr="0029432B">
        <w:rPr>
          <w:rFonts w:ascii="Ping LCG Regular" w:hAnsi="Ping LCG Regular" w:cs="Arial"/>
          <w:spacing w:val="-14"/>
          <w:sz w:val="22"/>
          <w:szCs w:val="22"/>
          <w:lang w:val="el-GR"/>
        </w:rPr>
        <w:t>ά</w:t>
      </w:r>
      <w:r w:rsidRPr="0029432B">
        <w:rPr>
          <w:rFonts w:ascii="Ping LCG Regular" w:hAnsi="Ping LCG Regular" w:cs="Arial"/>
          <w:spacing w:val="-14"/>
          <w:sz w:val="22"/>
          <w:szCs w:val="22"/>
          <w:lang w:val="el-GR"/>
        </w:rPr>
        <w:t>μηνο 2022, κυρίως λόγω της χαμηλότερης παραγωγής από μονάδες φυσικού αερίου.</w:t>
      </w:r>
      <w:r w:rsidRPr="00C74A18">
        <w:rPr>
          <w:rFonts w:ascii="Ping LCG Regular" w:hAnsi="Ping LCG Regular" w:cs="Arial"/>
          <w:spacing w:val="-14"/>
          <w:sz w:val="22"/>
          <w:szCs w:val="22"/>
          <w:lang w:val="el-GR"/>
        </w:rPr>
        <w:t xml:space="preserve"> </w:t>
      </w:r>
    </w:p>
    <w:p w14:paraId="587EDBFD" w14:textId="77777777" w:rsidR="00717D05" w:rsidRPr="00C45870" w:rsidRDefault="00717D05" w:rsidP="0025244D">
      <w:pPr>
        <w:autoSpaceDE w:val="0"/>
        <w:autoSpaceDN w:val="0"/>
        <w:adjustRightInd w:val="0"/>
        <w:jc w:val="both"/>
        <w:rPr>
          <w:rFonts w:ascii="Ping LCG Regular" w:hAnsi="Ping LCG Regular" w:cs="Arial"/>
          <w:b/>
          <w:bCs/>
          <w:color w:val="FF0000"/>
          <w:spacing w:val="-14"/>
          <w:sz w:val="20"/>
          <w:szCs w:val="20"/>
          <w:highlight w:val="yellow"/>
          <w:lang w:val="el-GR"/>
        </w:rPr>
      </w:pPr>
    </w:p>
    <w:p w14:paraId="3853E67C" w14:textId="0CA9CB3C" w:rsidR="008C4360" w:rsidRPr="004C6A20" w:rsidRDefault="006E4A4A" w:rsidP="0025244D">
      <w:pPr>
        <w:autoSpaceDE w:val="0"/>
        <w:autoSpaceDN w:val="0"/>
        <w:adjustRightInd w:val="0"/>
        <w:jc w:val="both"/>
        <w:rPr>
          <w:rFonts w:ascii="Ping LCG Regular" w:hAnsi="Ping LCG Regular" w:cs="Arial"/>
          <w:b/>
          <w:bCs/>
          <w:color w:val="FF0000"/>
          <w:spacing w:val="-14"/>
          <w:sz w:val="20"/>
          <w:szCs w:val="20"/>
          <w:lang w:val="el-GR"/>
        </w:rPr>
      </w:pPr>
      <w:r>
        <w:rPr>
          <w:rFonts w:ascii="Ping LCG Regular" w:hAnsi="Ping LCG Regular" w:cs="Arial"/>
          <w:b/>
          <w:bCs/>
          <w:noProof/>
          <w:color w:val="FF0000"/>
          <w:spacing w:val="-14"/>
          <w:sz w:val="20"/>
          <w:szCs w:val="20"/>
          <w:lang w:val="el-GR" w:eastAsia="el-GR"/>
        </w:rPr>
        <w:drawing>
          <wp:inline distT="0" distB="0" distL="0" distR="0" wp14:anchorId="2BE46E7C" wp14:editId="4159724A">
            <wp:extent cx="6296025" cy="241519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21168" cy="2424841"/>
                    </a:xfrm>
                    <a:prstGeom prst="rect">
                      <a:avLst/>
                    </a:prstGeom>
                    <a:noFill/>
                  </pic:spPr>
                </pic:pic>
              </a:graphicData>
            </a:graphic>
          </wp:inline>
        </w:drawing>
      </w:r>
    </w:p>
    <w:p w14:paraId="3C8A2FBD" w14:textId="7858DA2F" w:rsidR="008F43B8" w:rsidRPr="00C45870" w:rsidRDefault="008F43B8" w:rsidP="0025244D">
      <w:pPr>
        <w:autoSpaceDE w:val="0"/>
        <w:autoSpaceDN w:val="0"/>
        <w:adjustRightInd w:val="0"/>
        <w:jc w:val="both"/>
        <w:rPr>
          <w:rFonts w:ascii="Ping LCG Regular" w:hAnsi="Ping LCG Regular" w:cs="Arial"/>
          <w:b/>
          <w:bCs/>
          <w:color w:val="FF0000"/>
          <w:spacing w:val="-14"/>
          <w:sz w:val="20"/>
          <w:szCs w:val="20"/>
          <w:highlight w:val="yellow"/>
          <w:lang w:val="el-GR"/>
        </w:rPr>
      </w:pPr>
    </w:p>
    <w:p w14:paraId="03EE78B5" w14:textId="104D3009" w:rsidR="00413F79" w:rsidRPr="00C574ED" w:rsidRDefault="00413F79" w:rsidP="0025244D">
      <w:pPr>
        <w:autoSpaceDE w:val="0"/>
        <w:autoSpaceDN w:val="0"/>
        <w:adjustRightInd w:val="0"/>
        <w:jc w:val="both"/>
        <w:rPr>
          <w:rFonts w:ascii="Ping LCG Regular" w:hAnsi="Ping LCG Regular" w:cs="Arial"/>
          <w:b/>
          <w:bCs/>
          <w:color w:val="000000"/>
          <w:sz w:val="22"/>
          <w:szCs w:val="22"/>
          <w:u w:val="single"/>
          <w:lang w:val="el-GR"/>
        </w:rPr>
      </w:pPr>
      <w:r w:rsidRPr="00C574ED">
        <w:rPr>
          <w:rFonts w:ascii="Ping LCG Regular" w:hAnsi="Ping LCG Regular" w:cs="Arial"/>
          <w:b/>
          <w:bCs/>
          <w:color w:val="000000"/>
          <w:sz w:val="22"/>
          <w:szCs w:val="22"/>
          <w:u w:val="single"/>
          <w:lang w:val="el-GR"/>
        </w:rPr>
        <w:t>Ανάλυση Εσόδων &amp; Λειτουργικών δαπανών Ομίλου ΔΕΗ</w:t>
      </w:r>
    </w:p>
    <w:p w14:paraId="2066C6DF" w14:textId="3E46B069" w:rsidR="00A33C79" w:rsidRPr="00C574ED" w:rsidRDefault="00A33C79" w:rsidP="0025244D">
      <w:pPr>
        <w:jc w:val="both"/>
        <w:rPr>
          <w:rFonts w:ascii="Ping LCG Regular" w:hAnsi="Ping LCG Regular" w:cs="Arial"/>
          <w:b/>
          <w:bCs/>
          <w:spacing w:val="-14"/>
          <w:sz w:val="22"/>
          <w:szCs w:val="22"/>
          <w:lang w:val="el-GR"/>
        </w:rPr>
      </w:pPr>
    </w:p>
    <w:p w14:paraId="21E82DFC" w14:textId="7296C8EB" w:rsidR="00A33C79" w:rsidRPr="00C574ED" w:rsidRDefault="00A33C79" w:rsidP="0025244D">
      <w:pPr>
        <w:jc w:val="both"/>
        <w:rPr>
          <w:rFonts w:ascii="Ping LCG Regular" w:hAnsi="Ping LCG Regular" w:cs="Arial"/>
          <w:b/>
          <w:bCs/>
          <w:spacing w:val="-14"/>
          <w:sz w:val="22"/>
          <w:szCs w:val="22"/>
          <w:lang w:val="el-GR"/>
        </w:rPr>
      </w:pPr>
      <w:r w:rsidRPr="00C574ED">
        <w:rPr>
          <w:rFonts w:ascii="Ping LCG Regular" w:hAnsi="Ping LCG Regular" w:cs="Arial"/>
          <w:b/>
          <w:bCs/>
          <w:spacing w:val="-14"/>
          <w:sz w:val="22"/>
          <w:szCs w:val="22"/>
          <w:lang w:val="el-GR"/>
        </w:rPr>
        <w:t>Έσοδα</w:t>
      </w:r>
    </w:p>
    <w:p w14:paraId="6338CF46" w14:textId="0481928D" w:rsidR="00A33C79" w:rsidRDefault="00A33C79" w:rsidP="0025244D">
      <w:pPr>
        <w:widowControl w:val="0"/>
        <w:autoSpaceDE w:val="0"/>
        <w:autoSpaceDN w:val="0"/>
        <w:adjustRightInd w:val="0"/>
        <w:ind w:right="20"/>
        <w:jc w:val="both"/>
        <w:rPr>
          <w:rFonts w:ascii="Ping LCG Regular" w:hAnsi="Ping LCG Regular" w:cs="Arial"/>
          <w:spacing w:val="-14"/>
          <w:sz w:val="22"/>
          <w:szCs w:val="22"/>
          <w:lang w:val="el-GR"/>
        </w:rPr>
      </w:pPr>
    </w:p>
    <w:p w14:paraId="15748926" w14:textId="015EC1EF" w:rsidR="00A33C79" w:rsidRDefault="00A33C79" w:rsidP="0025244D">
      <w:pPr>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 κύκλος εργασιών, </w:t>
      </w:r>
      <w:r w:rsidR="00A843F6" w:rsidRPr="00C574ED">
        <w:rPr>
          <w:rFonts w:ascii="Ping LCG Regular" w:hAnsi="Ping LCG Regular" w:cs="Arial"/>
          <w:spacing w:val="-14"/>
          <w:sz w:val="22"/>
          <w:szCs w:val="22"/>
          <w:lang w:val="el-GR"/>
        </w:rPr>
        <w:t xml:space="preserve">μειώθηκε </w:t>
      </w:r>
      <w:r w:rsidRPr="00C574ED">
        <w:rPr>
          <w:rFonts w:ascii="Ping LCG Regular" w:hAnsi="Ping LCG Regular" w:cs="Arial"/>
          <w:spacing w:val="-14"/>
          <w:sz w:val="22"/>
          <w:szCs w:val="22"/>
          <w:lang w:val="el-GR"/>
        </w:rPr>
        <w:t xml:space="preserve">το </w:t>
      </w:r>
      <w:r w:rsidR="00762D6C">
        <w:rPr>
          <w:rFonts w:ascii="Ping LCG Regular" w:hAnsi="Ping LCG Regular" w:cs="Arial"/>
          <w:spacing w:val="-14"/>
          <w:sz w:val="22"/>
          <w:szCs w:val="22"/>
          <w:lang w:val="el-GR"/>
        </w:rPr>
        <w:t>εννε</w:t>
      </w:r>
      <w:r w:rsidR="006F10D9">
        <w:rPr>
          <w:rFonts w:ascii="Ping LCG Regular" w:hAnsi="Ping LCG Regular" w:cs="Arial"/>
          <w:spacing w:val="-14"/>
          <w:sz w:val="22"/>
          <w:szCs w:val="22"/>
          <w:lang w:val="el-GR"/>
        </w:rPr>
        <w:t>ά</w:t>
      </w:r>
      <w:r w:rsidR="007A3694" w:rsidRPr="00C574ED">
        <w:rPr>
          <w:rFonts w:ascii="Ping LCG Regular" w:hAnsi="Ping LCG Regular" w:cs="Arial"/>
          <w:spacing w:val="-14"/>
          <w:sz w:val="22"/>
          <w:szCs w:val="22"/>
          <w:lang w:val="el-GR"/>
        </w:rPr>
        <w:t>μηνο 2023</w:t>
      </w:r>
      <w:r w:rsidRPr="00C574ED">
        <w:rPr>
          <w:rFonts w:ascii="Ping LCG Regular" w:hAnsi="Ping LCG Regular" w:cs="Arial"/>
          <w:spacing w:val="-14"/>
          <w:sz w:val="22"/>
          <w:szCs w:val="22"/>
          <w:lang w:val="el-GR"/>
        </w:rPr>
        <w:t xml:space="preserve"> κατά €</w:t>
      </w:r>
      <w:r w:rsidR="00114813">
        <w:rPr>
          <w:rFonts w:ascii="Ping LCG Regular" w:hAnsi="Ping LCG Regular" w:cs="Arial"/>
          <w:spacing w:val="-14"/>
          <w:sz w:val="22"/>
          <w:szCs w:val="22"/>
          <w:lang w:val="el-GR"/>
        </w:rPr>
        <w:t>3.0</w:t>
      </w:r>
      <w:r w:rsidR="004408C3" w:rsidRPr="004408C3">
        <w:rPr>
          <w:rFonts w:ascii="Ping LCG Regular" w:hAnsi="Ping LCG Regular" w:cs="Arial"/>
          <w:spacing w:val="-14"/>
          <w:sz w:val="22"/>
          <w:szCs w:val="22"/>
          <w:lang w:val="el-GR"/>
        </w:rPr>
        <w:t>39</w:t>
      </w:r>
      <w:r w:rsidR="00114813">
        <w:rPr>
          <w:rFonts w:ascii="Ping LCG Regular" w:hAnsi="Ping LCG Regular" w:cs="Arial"/>
          <w:spacing w:val="-14"/>
          <w:sz w:val="22"/>
          <w:szCs w:val="22"/>
          <w:lang w:val="el-GR"/>
        </w:rPr>
        <w:t>,</w:t>
      </w:r>
      <w:r w:rsidR="004408C3" w:rsidRPr="004408C3">
        <w:rPr>
          <w:rFonts w:ascii="Ping LCG Regular" w:hAnsi="Ping LCG Regular" w:cs="Arial"/>
          <w:spacing w:val="-14"/>
          <w:sz w:val="22"/>
          <w:szCs w:val="22"/>
          <w:lang w:val="el-GR"/>
        </w:rPr>
        <w:t>2</w:t>
      </w:r>
      <w:r w:rsidRPr="00C574ED">
        <w:rPr>
          <w:rFonts w:ascii="Ping LCG Regular" w:hAnsi="Ping LCG Regular" w:cs="Arial"/>
          <w:spacing w:val="-14"/>
          <w:sz w:val="22"/>
          <w:szCs w:val="22"/>
          <w:lang w:val="el-GR"/>
        </w:rPr>
        <w:t xml:space="preserve"> εκατ. ή </w:t>
      </w:r>
      <w:r w:rsidR="005D4DCF">
        <w:rPr>
          <w:rFonts w:ascii="Ping LCG Regular" w:hAnsi="Ping LCG Regular" w:cs="Arial"/>
          <w:spacing w:val="-14"/>
          <w:sz w:val="22"/>
          <w:szCs w:val="22"/>
          <w:lang w:val="el-GR"/>
        </w:rPr>
        <w:t>35,</w:t>
      </w:r>
      <w:r w:rsidR="004408C3" w:rsidRPr="004408C3">
        <w:rPr>
          <w:rFonts w:ascii="Ping LCG Regular" w:hAnsi="Ping LCG Regular" w:cs="Arial"/>
          <w:spacing w:val="-14"/>
          <w:sz w:val="22"/>
          <w:szCs w:val="22"/>
          <w:lang w:val="el-GR"/>
        </w:rPr>
        <w:t>5</w:t>
      </w:r>
      <w:r w:rsidRPr="00C574ED">
        <w:rPr>
          <w:rFonts w:ascii="Ping LCG Regular" w:hAnsi="Ping LCG Regular" w:cs="Arial"/>
          <w:spacing w:val="-14"/>
          <w:sz w:val="22"/>
          <w:szCs w:val="22"/>
          <w:lang w:val="el-GR"/>
        </w:rPr>
        <w:t xml:space="preserve">% λόγω </w:t>
      </w:r>
      <w:r w:rsidR="00170308">
        <w:rPr>
          <w:rFonts w:ascii="Ping LCG Regular" w:hAnsi="Ping LCG Regular" w:cs="Arial"/>
          <w:spacing w:val="-14"/>
          <w:sz w:val="22"/>
          <w:szCs w:val="22"/>
          <w:lang w:val="el-GR"/>
        </w:rPr>
        <w:t>των μειωμένων τιμολογίων σε συνέχεια της πτώσης των τιμών στη χονδρεμπορική αγορά</w:t>
      </w:r>
      <w:r w:rsidR="00CD197A" w:rsidRPr="006322FA">
        <w:rPr>
          <w:rFonts w:ascii="Ping LCG Regular" w:hAnsi="Ping LCG Regular" w:cs="Arial"/>
          <w:spacing w:val="-14"/>
          <w:sz w:val="22"/>
          <w:szCs w:val="22"/>
          <w:lang w:val="el-GR"/>
        </w:rPr>
        <w:t xml:space="preserve">, </w:t>
      </w:r>
      <w:r w:rsidR="00CD197A">
        <w:rPr>
          <w:rFonts w:ascii="Ping LCG Regular" w:hAnsi="Ping LCG Regular" w:cs="Arial"/>
          <w:spacing w:val="-14"/>
          <w:sz w:val="22"/>
          <w:szCs w:val="22"/>
          <w:lang w:val="el-GR"/>
        </w:rPr>
        <w:t>καθώς και λόγω</w:t>
      </w:r>
      <w:r w:rsidR="00170308" w:rsidRPr="00C574ED">
        <w:rPr>
          <w:rFonts w:ascii="Ping LCG Regular" w:hAnsi="Ping LCG Regular" w:cs="Arial"/>
          <w:spacing w:val="-14"/>
          <w:sz w:val="22"/>
          <w:szCs w:val="22"/>
          <w:lang w:val="el-GR"/>
        </w:rPr>
        <w:t xml:space="preserve"> </w:t>
      </w:r>
      <w:r w:rsidRPr="00C574ED">
        <w:rPr>
          <w:rFonts w:ascii="Ping LCG Regular" w:hAnsi="Ping LCG Regular" w:cs="Arial"/>
          <w:spacing w:val="-14"/>
          <w:sz w:val="22"/>
          <w:szCs w:val="22"/>
          <w:lang w:val="el-GR"/>
        </w:rPr>
        <w:t xml:space="preserve">της </w:t>
      </w:r>
      <w:r w:rsidR="00AC17A3" w:rsidRPr="00C574ED">
        <w:rPr>
          <w:rFonts w:ascii="Ping LCG Regular" w:hAnsi="Ping LCG Regular" w:cs="Arial"/>
          <w:spacing w:val="-14"/>
          <w:sz w:val="22"/>
          <w:szCs w:val="22"/>
          <w:lang w:val="el-GR"/>
        </w:rPr>
        <w:t xml:space="preserve">μείωσης </w:t>
      </w:r>
      <w:r w:rsidR="000C0603" w:rsidRPr="00C574ED">
        <w:rPr>
          <w:rFonts w:ascii="Ping LCG Regular" w:hAnsi="Ping LCG Regular" w:cs="Arial"/>
          <w:spacing w:val="-14"/>
          <w:sz w:val="22"/>
          <w:szCs w:val="22"/>
          <w:lang w:val="el-GR"/>
        </w:rPr>
        <w:t xml:space="preserve">του όγκου </w:t>
      </w:r>
      <w:r w:rsidR="00F4138C" w:rsidRPr="00C574ED">
        <w:rPr>
          <w:rFonts w:ascii="Ping LCG Regular" w:hAnsi="Ping LCG Regular" w:cs="Arial"/>
          <w:spacing w:val="-14"/>
          <w:sz w:val="22"/>
          <w:szCs w:val="22"/>
          <w:lang w:val="el-GR"/>
        </w:rPr>
        <w:t>των πωλήσεων</w:t>
      </w:r>
      <w:r w:rsidR="00103F15" w:rsidRPr="00C574ED">
        <w:rPr>
          <w:rFonts w:ascii="Ping LCG Regular" w:hAnsi="Ping LCG Regular" w:cs="Arial"/>
          <w:spacing w:val="-14"/>
          <w:sz w:val="22"/>
          <w:szCs w:val="22"/>
          <w:lang w:val="el-GR"/>
        </w:rPr>
        <w:t xml:space="preserve"> ηλεκτρικής ενέργειας</w:t>
      </w:r>
      <w:r w:rsidRPr="00C574ED">
        <w:rPr>
          <w:rFonts w:ascii="Ping LCG Regular" w:hAnsi="Ping LCG Regular" w:cs="Arial"/>
          <w:spacing w:val="-14"/>
          <w:sz w:val="22"/>
          <w:szCs w:val="22"/>
          <w:lang w:val="el-GR"/>
        </w:rPr>
        <w:t xml:space="preserve"> ως αποτέλεσμα της </w:t>
      </w:r>
      <w:r w:rsidR="00D257E0" w:rsidRPr="00C574ED">
        <w:rPr>
          <w:rFonts w:ascii="Ping LCG Regular" w:hAnsi="Ping LCG Regular" w:cs="Arial"/>
          <w:spacing w:val="-14"/>
          <w:sz w:val="22"/>
          <w:szCs w:val="22"/>
          <w:lang w:val="el-GR"/>
        </w:rPr>
        <w:t>πτώσης της εγχώριας ζήτησης</w:t>
      </w:r>
      <w:r w:rsidR="00B84517">
        <w:rPr>
          <w:rFonts w:ascii="Ping LCG Regular" w:hAnsi="Ping LCG Regular" w:cs="Arial"/>
          <w:spacing w:val="-14"/>
          <w:sz w:val="22"/>
          <w:szCs w:val="22"/>
          <w:lang w:val="el-GR"/>
        </w:rPr>
        <w:t xml:space="preserve"> και </w:t>
      </w:r>
      <w:r w:rsidR="00CD197A" w:rsidRPr="00C574ED">
        <w:rPr>
          <w:rFonts w:ascii="Ping LCG Regular" w:hAnsi="Ping LCG Regular" w:cs="Arial"/>
          <w:spacing w:val="-14"/>
          <w:sz w:val="22"/>
          <w:szCs w:val="22"/>
          <w:lang w:val="el-GR"/>
        </w:rPr>
        <w:t xml:space="preserve">της μείωσης του μεριδίου αγοράς </w:t>
      </w:r>
      <w:r w:rsidR="00E66DCF">
        <w:rPr>
          <w:rFonts w:ascii="Ping LCG Regular" w:hAnsi="Ping LCG Regular" w:cs="Arial"/>
          <w:spacing w:val="-14"/>
          <w:sz w:val="22"/>
          <w:szCs w:val="22"/>
          <w:lang w:val="el-GR"/>
        </w:rPr>
        <w:t xml:space="preserve">της ΔΕΗ </w:t>
      </w:r>
      <w:r w:rsidR="00CD197A" w:rsidRPr="00C574ED">
        <w:rPr>
          <w:rFonts w:ascii="Ping LCG Regular" w:hAnsi="Ping LCG Regular" w:cs="Arial"/>
          <w:spacing w:val="-14"/>
          <w:sz w:val="22"/>
          <w:szCs w:val="22"/>
          <w:lang w:val="el-GR"/>
        </w:rPr>
        <w:t>στην προμήθεια ηλεκτρικής ενέργειας</w:t>
      </w:r>
      <w:r w:rsidR="00BF0DF6">
        <w:rPr>
          <w:rFonts w:ascii="Ping LCG Regular" w:hAnsi="Ping LCG Regular" w:cs="Arial"/>
          <w:spacing w:val="-14"/>
          <w:sz w:val="22"/>
          <w:szCs w:val="22"/>
          <w:lang w:val="el-GR"/>
        </w:rPr>
        <w:t>.</w:t>
      </w:r>
      <w:r w:rsidR="00CD197A" w:rsidRPr="0017580E">
        <w:rPr>
          <w:rFonts w:ascii="Ping LCG Regular" w:hAnsi="Ping LCG Regular" w:cs="Arial"/>
          <w:spacing w:val="-14"/>
          <w:sz w:val="22"/>
          <w:szCs w:val="22"/>
          <w:lang w:val="el-GR"/>
        </w:rPr>
        <w:t xml:space="preserve"> </w:t>
      </w:r>
      <w:r w:rsidR="00BF0DF6">
        <w:rPr>
          <w:rFonts w:ascii="Ping LCG Regular" w:hAnsi="Ping LCG Regular" w:cs="Arial"/>
          <w:spacing w:val="-14"/>
          <w:sz w:val="22"/>
          <w:szCs w:val="22"/>
          <w:lang w:val="el-GR"/>
        </w:rPr>
        <w:t xml:space="preserve"> </w:t>
      </w:r>
    </w:p>
    <w:p w14:paraId="361B11E5" w14:textId="77777777" w:rsidR="00BF0DF6" w:rsidRPr="00C574ED" w:rsidRDefault="00BF0DF6" w:rsidP="0025244D">
      <w:pPr>
        <w:jc w:val="both"/>
        <w:rPr>
          <w:rFonts w:ascii="Ping LCG Regular" w:hAnsi="Ping LCG Regular" w:cs="Arial"/>
          <w:spacing w:val="-14"/>
          <w:sz w:val="22"/>
          <w:szCs w:val="22"/>
          <w:lang w:val="el-GR"/>
        </w:rPr>
      </w:pPr>
    </w:p>
    <w:p w14:paraId="4EE023E8" w14:textId="46BB44B4" w:rsidR="00A33C79" w:rsidRPr="00C574ED" w:rsidRDefault="00A33C79" w:rsidP="0025244D">
      <w:pPr>
        <w:widowControl w:val="0"/>
        <w:autoSpaceDE w:val="0"/>
        <w:autoSpaceDN w:val="0"/>
        <w:adjustRightInd w:val="0"/>
        <w:ind w:right="20"/>
        <w:jc w:val="both"/>
        <w:rPr>
          <w:rFonts w:ascii="Ping LCG Regular" w:hAnsi="Ping LCG Regular" w:cs="Arial"/>
          <w:b/>
          <w:spacing w:val="-14"/>
          <w:sz w:val="22"/>
          <w:szCs w:val="22"/>
          <w:lang w:val="el-GR"/>
        </w:rPr>
      </w:pPr>
      <w:r w:rsidRPr="00C574ED">
        <w:rPr>
          <w:rFonts w:ascii="Ping LCG Regular" w:hAnsi="Ping LCG Regular" w:cs="Arial"/>
          <w:b/>
          <w:spacing w:val="-14"/>
          <w:sz w:val="22"/>
          <w:szCs w:val="22"/>
          <w:lang w:val="el-GR"/>
        </w:rPr>
        <w:t xml:space="preserve">Λειτουργικές Δαπάνες </w:t>
      </w:r>
    </w:p>
    <w:p w14:paraId="50ACEB35" w14:textId="77777777" w:rsidR="00A90D06" w:rsidRDefault="00A90D06" w:rsidP="0025244D">
      <w:pPr>
        <w:ind w:firstLine="11"/>
        <w:jc w:val="both"/>
        <w:rPr>
          <w:rFonts w:ascii="Ping LCG Regular" w:hAnsi="Ping LCG Regular" w:cs="Arial"/>
          <w:spacing w:val="-14"/>
          <w:sz w:val="22"/>
          <w:szCs w:val="22"/>
          <w:lang w:val="el-GR"/>
        </w:rPr>
      </w:pPr>
      <w:bookmarkStart w:id="4" w:name="_Hlk69239273"/>
    </w:p>
    <w:p w14:paraId="11B2B74A" w14:textId="2B42A379" w:rsidR="00A33C79" w:rsidRPr="00C574ED" w:rsidRDefault="00A33C79" w:rsidP="0025244D">
      <w:pPr>
        <w:ind w:firstLine="11"/>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Οι προ αποσβέσεων λειτουργικές δαπάνες το </w:t>
      </w:r>
      <w:r w:rsidR="008526FC">
        <w:rPr>
          <w:rFonts w:ascii="Ping LCG Regular" w:hAnsi="Ping LCG Regular" w:cs="Arial"/>
          <w:spacing w:val="-14"/>
          <w:sz w:val="22"/>
          <w:szCs w:val="22"/>
          <w:lang w:val="el-GR"/>
        </w:rPr>
        <w:t>ενε</w:t>
      </w:r>
      <w:r w:rsidR="00A32A4F">
        <w:rPr>
          <w:rFonts w:ascii="Ping LCG Regular" w:hAnsi="Ping LCG Regular" w:cs="Arial"/>
          <w:spacing w:val="-14"/>
          <w:sz w:val="22"/>
          <w:szCs w:val="22"/>
          <w:lang w:val="el-GR"/>
        </w:rPr>
        <w:t>ά</w:t>
      </w:r>
      <w:r w:rsidR="0002667F" w:rsidRPr="00C574ED">
        <w:rPr>
          <w:rFonts w:ascii="Ping LCG Regular" w:hAnsi="Ping LCG Regular" w:cs="Arial"/>
          <w:spacing w:val="-14"/>
          <w:sz w:val="22"/>
          <w:szCs w:val="22"/>
          <w:lang w:val="el-GR"/>
        </w:rPr>
        <w:t>μηνο 2023</w:t>
      </w:r>
      <w:r w:rsidRPr="00C574ED">
        <w:rPr>
          <w:rFonts w:ascii="Ping LCG Regular" w:hAnsi="Ping LCG Regular" w:cs="Arial"/>
          <w:spacing w:val="-14"/>
          <w:sz w:val="22"/>
          <w:szCs w:val="22"/>
          <w:lang w:val="el-GR"/>
        </w:rPr>
        <w:t xml:space="preserve"> </w:t>
      </w:r>
      <w:r w:rsidR="00DE42E0" w:rsidRPr="00C574ED">
        <w:rPr>
          <w:rFonts w:ascii="Ping LCG Regular" w:hAnsi="Ping LCG Regular" w:cs="Arial"/>
          <w:spacing w:val="-14"/>
          <w:sz w:val="22"/>
          <w:szCs w:val="22"/>
          <w:lang w:val="el-GR"/>
        </w:rPr>
        <w:t>μειώθηκαν</w:t>
      </w:r>
      <w:r w:rsidRPr="00C574ED">
        <w:rPr>
          <w:rFonts w:ascii="Ping LCG Regular" w:hAnsi="Ping LCG Regular" w:cs="Arial"/>
          <w:spacing w:val="-14"/>
          <w:sz w:val="22"/>
          <w:szCs w:val="22"/>
          <w:lang w:val="el-GR"/>
        </w:rPr>
        <w:t xml:space="preserve"> κατά  </w:t>
      </w:r>
      <w:r w:rsidR="0040546B">
        <w:rPr>
          <w:rFonts w:ascii="Ping LCG Regular" w:hAnsi="Ping LCG Regular" w:cs="Arial"/>
          <w:spacing w:val="-14"/>
          <w:sz w:val="22"/>
          <w:szCs w:val="22"/>
          <w:lang w:val="el-GR"/>
        </w:rPr>
        <w:t>42</w:t>
      </w:r>
      <w:r w:rsidR="00A32A4F">
        <w:rPr>
          <w:rFonts w:ascii="Ping LCG Regular" w:hAnsi="Ping LCG Regular" w:cs="Arial"/>
          <w:spacing w:val="-14"/>
          <w:sz w:val="22"/>
          <w:szCs w:val="22"/>
          <w:lang w:val="el-GR"/>
        </w:rPr>
        <w:t>,</w:t>
      </w:r>
      <w:r w:rsidR="00A90D06" w:rsidRPr="00A90D06">
        <w:rPr>
          <w:rFonts w:ascii="Ping LCG Regular" w:hAnsi="Ping LCG Regular" w:cs="Arial"/>
          <w:spacing w:val="-14"/>
          <w:sz w:val="22"/>
          <w:szCs w:val="22"/>
          <w:lang w:val="el-GR"/>
        </w:rPr>
        <w:t>1</w:t>
      </w:r>
      <w:r w:rsidR="00CB5D70">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 xml:space="preserve"> </w:t>
      </w:r>
      <w:r w:rsidR="001974E7" w:rsidRPr="00C574ED">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w:t>
      </w:r>
      <w:r w:rsidR="0040546B">
        <w:rPr>
          <w:rFonts w:ascii="Ping LCG Regular" w:hAnsi="Ping LCG Regular" w:cs="Arial"/>
          <w:spacing w:val="-14"/>
          <w:sz w:val="22"/>
          <w:szCs w:val="22"/>
          <w:lang w:val="el-GR"/>
        </w:rPr>
        <w:t>4</w:t>
      </w:r>
      <w:r w:rsidR="00B12DE9" w:rsidRPr="006322FA">
        <w:rPr>
          <w:rFonts w:ascii="Ping LCG Regular" w:hAnsi="Ping LCG Regular" w:cs="Arial"/>
          <w:spacing w:val="-14"/>
          <w:sz w:val="22"/>
          <w:szCs w:val="22"/>
          <w:lang w:val="el-GR"/>
        </w:rPr>
        <w:t>.</w:t>
      </w:r>
      <w:r w:rsidR="0060159F">
        <w:rPr>
          <w:rFonts w:ascii="Ping LCG Regular" w:hAnsi="Ping LCG Regular" w:cs="Arial"/>
          <w:spacing w:val="-14"/>
          <w:sz w:val="22"/>
          <w:szCs w:val="22"/>
          <w:lang w:val="el-GR"/>
        </w:rPr>
        <w:t>5</w:t>
      </w:r>
      <w:r w:rsidR="00A90D06" w:rsidRPr="00A90D06">
        <w:rPr>
          <w:rFonts w:ascii="Ping LCG Regular" w:hAnsi="Ping LCG Regular" w:cs="Arial"/>
          <w:spacing w:val="-14"/>
          <w:sz w:val="22"/>
          <w:szCs w:val="22"/>
          <w:lang w:val="el-GR"/>
        </w:rPr>
        <w:t>86</w:t>
      </w:r>
      <w:r w:rsidR="0060159F">
        <w:rPr>
          <w:rFonts w:ascii="Ping LCG Regular" w:hAnsi="Ping LCG Regular" w:cs="Arial"/>
          <w:spacing w:val="-14"/>
          <w:sz w:val="22"/>
          <w:szCs w:val="22"/>
          <w:lang w:val="el-GR"/>
        </w:rPr>
        <w:t>,</w:t>
      </w:r>
      <w:r w:rsidR="00050693" w:rsidRPr="00D7618B">
        <w:rPr>
          <w:rFonts w:ascii="Ping LCG Regular" w:hAnsi="Ping LCG Regular" w:cs="Arial"/>
          <w:spacing w:val="-14"/>
          <w:sz w:val="22"/>
          <w:szCs w:val="22"/>
          <w:lang w:val="el-GR"/>
        </w:rPr>
        <w:t>8</w:t>
      </w:r>
      <w:r w:rsidRPr="00C574ED">
        <w:rPr>
          <w:rFonts w:ascii="Ping LCG Regular" w:hAnsi="Ping LCG Regular" w:cs="Arial"/>
          <w:spacing w:val="-14"/>
          <w:sz w:val="22"/>
          <w:szCs w:val="22"/>
          <w:lang w:val="el-GR"/>
        </w:rPr>
        <w:t xml:space="preserve"> εκατ. έναντι €</w:t>
      </w:r>
      <w:r w:rsidR="0060159F">
        <w:rPr>
          <w:rFonts w:ascii="Ping LCG Regular" w:hAnsi="Ping LCG Regular" w:cs="Arial"/>
          <w:spacing w:val="-14"/>
          <w:sz w:val="22"/>
          <w:szCs w:val="22"/>
          <w:lang w:val="el-GR"/>
        </w:rPr>
        <w:t>7.918,5</w:t>
      </w:r>
      <w:r w:rsidRPr="00C574ED">
        <w:rPr>
          <w:rFonts w:ascii="Ping LCG Regular" w:hAnsi="Ping LCG Regular" w:cs="Arial"/>
          <w:spacing w:val="-14"/>
          <w:sz w:val="22"/>
          <w:szCs w:val="22"/>
          <w:lang w:val="el-GR"/>
        </w:rPr>
        <w:t xml:space="preserve"> εκατ.</w:t>
      </w:r>
      <w:r w:rsidR="001974E7" w:rsidRPr="00C574ED">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 xml:space="preserve">, κυρίως ως αποτέλεσμα </w:t>
      </w:r>
      <w:r w:rsidR="00FA3707" w:rsidRPr="00C574ED">
        <w:rPr>
          <w:rFonts w:ascii="Ping LCG Regular" w:hAnsi="Ping LCG Regular" w:cs="Arial"/>
          <w:spacing w:val="-14"/>
          <w:sz w:val="22"/>
          <w:szCs w:val="22"/>
          <w:lang w:val="el-GR"/>
        </w:rPr>
        <w:t>της προαναφερθείσας μείωσης των</w:t>
      </w:r>
      <w:r w:rsidRPr="00C574ED">
        <w:rPr>
          <w:rFonts w:ascii="Ping LCG Regular" w:hAnsi="Ping LCG Regular" w:cs="Arial"/>
          <w:spacing w:val="-14"/>
          <w:sz w:val="22"/>
          <w:szCs w:val="22"/>
          <w:lang w:val="el-GR"/>
        </w:rPr>
        <w:t xml:space="preserve"> δαπανών για αγορά </w:t>
      </w:r>
      <w:r w:rsidR="000F60B4" w:rsidRPr="00C574ED">
        <w:rPr>
          <w:rFonts w:ascii="Ping LCG Regular" w:hAnsi="Ping LCG Regular" w:cs="Arial"/>
          <w:spacing w:val="-14"/>
          <w:sz w:val="22"/>
          <w:szCs w:val="22"/>
          <w:lang w:val="el-GR"/>
        </w:rPr>
        <w:t>φυσικού αερίου</w:t>
      </w:r>
      <w:r w:rsidRPr="00C574ED">
        <w:rPr>
          <w:rFonts w:ascii="Ping LCG Regular" w:hAnsi="Ping LCG Regular" w:cs="Arial"/>
          <w:spacing w:val="-14"/>
          <w:sz w:val="22"/>
          <w:szCs w:val="22"/>
          <w:lang w:val="el-GR"/>
        </w:rPr>
        <w:t xml:space="preserve">, ενέργειας και δικαιωμάτων εκπομπών </w:t>
      </w:r>
      <w:r w:rsidRPr="00C574ED">
        <w:rPr>
          <w:rFonts w:ascii="Ping LCG Regular" w:hAnsi="Ping LCG Regular" w:cs="Arial"/>
          <w:spacing w:val="-14"/>
          <w:sz w:val="22"/>
          <w:szCs w:val="22"/>
        </w:rPr>
        <w:t>CO</w:t>
      </w:r>
      <w:r w:rsidRPr="00C574ED">
        <w:rPr>
          <w:rFonts w:ascii="Ping LCG Regular" w:hAnsi="Ping LCG Regular" w:cs="Arial"/>
          <w:spacing w:val="-14"/>
          <w:sz w:val="22"/>
          <w:szCs w:val="22"/>
          <w:vertAlign w:val="subscript"/>
          <w:lang w:val="el-GR"/>
        </w:rPr>
        <w:t>2</w:t>
      </w:r>
      <w:r w:rsidR="00035DF4" w:rsidRPr="00086752">
        <w:rPr>
          <w:rFonts w:ascii="Ping LCG Regular" w:hAnsi="Ping LCG Regular" w:cs="Arial"/>
          <w:b/>
          <w:bCs/>
          <w:spacing w:val="-14"/>
          <w:sz w:val="22"/>
          <w:szCs w:val="22"/>
          <w:lang w:val="el-GR"/>
        </w:rPr>
        <w:t>.</w:t>
      </w:r>
    </w:p>
    <w:p w14:paraId="2A6C1D3A" w14:textId="20E1463A" w:rsidR="00531F75" w:rsidRPr="00C574ED" w:rsidRDefault="00531F75" w:rsidP="0025244D">
      <w:pPr>
        <w:autoSpaceDE w:val="0"/>
        <w:autoSpaceDN w:val="0"/>
        <w:adjustRightInd w:val="0"/>
        <w:jc w:val="both"/>
        <w:rPr>
          <w:rFonts w:ascii="Ping LCG Regular" w:hAnsi="Ping LCG Regular" w:cs="Arial"/>
          <w:spacing w:val="-14"/>
          <w:sz w:val="22"/>
          <w:szCs w:val="22"/>
          <w:lang w:val="el-GR"/>
        </w:rPr>
      </w:pPr>
      <w:bookmarkStart w:id="5" w:name="_Hlk68767691"/>
    </w:p>
    <w:bookmarkEnd w:id="4"/>
    <w:bookmarkEnd w:id="5"/>
    <w:p w14:paraId="574B102E" w14:textId="77777777" w:rsidR="00A33C79" w:rsidRPr="00C574ED" w:rsidRDefault="00A33C79" w:rsidP="0025244D">
      <w:pPr>
        <w:widowControl w:val="0"/>
        <w:autoSpaceDE w:val="0"/>
        <w:autoSpaceDN w:val="0"/>
        <w:adjustRightInd w:val="0"/>
        <w:ind w:left="1" w:right="18"/>
        <w:jc w:val="both"/>
        <w:rPr>
          <w:rFonts w:ascii="Ping LCG Regular" w:hAnsi="Ping LCG Regular" w:cs="Arial"/>
          <w:i/>
          <w:iCs/>
          <w:spacing w:val="-14"/>
          <w:sz w:val="22"/>
          <w:szCs w:val="22"/>
          <w:lang w:val="el-GR"/>
        </w:rPr>
      </w:pPr>
      <w:r w:rsidRPr="00C574ED">
        <w:rPr>
          <w:rFonts w:ascii="Ping LCG Regular" w:hAnsi="Ping LCG Regular" w:cs="Arial"/>
          <w:bCs/>
          <w:i/>
          <w:iCs/>
          <w:spacing w:val="-14"/>
          <w:sz w:val="22"/>
          <w:szCs w:val="22"/>
          <w:lang w:val="el-GR"/>
        </w:rPr>
        <w:lastRenderedPageBreak/>
        <w:t>Δαπάνες Ενεργειακού Μείγματος</w:t>
      </w:r>
      <w:r w:rsidRPr="00C574ED" w:rsidDel="002974C9">
        <w:rPr>
          <w:rFonts w:ascii="Ping LCG Regular" w:hAnsi="Ping LCG Regular" w:cs="Arial"/>
          <w:i/>
          <w:iCs/>
          <w:spacing w:val="-14"/>
          <w:sz w:val="22"/>
          <w:szCs w:val="22"/>
          <w:lang w:val="el-GR"/>
        </w:rPr>
        <w:t xml:space="preserve"> </w:t>
      </w:r>
    </w:p>
    <w:p w14:paraId="430836FE" w14:textId="7DE8AE39" w:rsidR="00A33C79" w:rsidRPr="00C574ED" w:rsidRDefault="00A33C79" w:rsidP="0025244D">
      <w:pPr>
        <w:widowControl w:val="0"/>
        <w:autoSpaceDE w:val="0"/>
        <w:autoSpaceDN w:val="0"/>
        <w:adjustRightInd w:val="0"/>
        <w:ind w:left="1" w:right="21"/>
        <w:jc w:val="both"/>
        <w:rPr>
          <w:rFonts w:ascii="Ping LCG Regular" w:hAnsi="Ping LCG Regular" w:cs="Arial"/>
          <w:spacing w:val="-14"/>
          <w:sz w:val="22"/>
          <w:szCs w:val="22"/>
          <w:lang w:val="el-GR"/>
        </w:rPr>
      </w:pPr>
      <w:r w:rsidRPr="00C574ED">
        <w:rPr>
          <w:rFonts w:ascii="Ping LCG Regular" w:hAnsi="Ping LCG Regular" w:cs="Arial"/>
          <w:spacing w:val="-14"/>
          <w:sz w:val="22"/>
          <w:szCs w:val="22"/>
          <w:lang w:val="el-GR"/>
        </w:rPr>
        <w:t xml:space="preserve">Οι δαπάνες για υγρά καύσιμα, φυσικό αέριο, </w:t>
      </w:r>
      <w:r w:rsidRPr="00C574ED">
        <w:rPr>
          <w:rFonts w:ascii="Ping LCG Regular" w:hAnsi="Ping LCG Regular" w:cs="Arial"/>
          <w:spacing w:val="-14"/>
          <w:sz w:val="22"/>
          <w:szCs w:val="22"/>
        </w:rPr>
        <w:t>CO</w:t>
      </w:r>
      <w:r w:rsidRPr="00C574ED">
        <w:rPr>
          <w:rFonts w:ascii="Ping LCG Regular" w:hAnsi="Ping LCG Regular" w:cs="Arial"/>
          <w:spacing w:val="-14"/>
          <w:sz w:val="22"/>
          <w:szCs w:val="22"/>
          <w:vertAlign w:val="subscript"/>
          <w:lang w:val="el-GR"/>
        </w:rPr>
        <w:t>2</w:t>
      </w:r>
      <w:r w:rsidRPr="00C574ED">
        <w:rPr>
          <w:rFonts w:ascii="Ping LCG Regular" w:hAnsi="Ping LCG Regular" w:cs="Arial"/>
          <w:spacing w:val="-14"/>
          <w:sz w:val="22"/>
          <w:szCs w:val="22"/>
          <w:lang w:val="el-GR"/>
        </w:rPr>
        <w:t xml:space="preserve">, λιγνίτη τρίτων και αγορές ηλεκτρικής ενέργειας </w:t>
      </w:r>
      <w:r w:rsidR="003413E4" w:rsidRPr="00C574ED">
        <w:rPr>
          <w:rFonts w:ascii="Ping LCG Regular" w:hAnsi="Ping LCG Regular" w:cs="Arial"/>
          <w:spacing w:val="-14"/>
          <w:sz w:val="22"/>
          <w:szCs w:val="22"/>
          <w:lang w:val="el-GR"/>
        </w:rPr>
        <w:t>μειώ</w:t>
      </w:r>
      <w:r w:rsidRPr="00C574ED">
        <w:rPr>
          <w:rFonts w:ascii="Ping LCG Regular" w:hAnsi="Ping LCG Regular" w:cs="Arial"/>
          <w:spacing w:val="-14"/>
          <w:sz w:val="22"/>
          <w:szCs w:val="22"/>
          <w:lang w:val="el-GR"/>
        </w:rPr>
        <w:t>θηκαν κατά €</w:t>
      </w:r>
      <w:r w:rsidR="00973E5A">
        <w:rPr>
          <w:rFonts w:ascii="Ping LCG Regular" w:hAnsi="Ping LCG Regular" w:cs="Arial"/>
          <w:spacing w:val="-14"/>
          <w:sz w:val="22"/>
          <w:szCs w:val="22"/>
          <w:lang w:val="el-GR"/>
        </w:rPr>
        <w:t>3</w:t>
      </w:r>
      <w:r w:rsidR="00813D0A">
        <w:rPr>
          <w:rFonts w:ascii="Ping LCG Regular" w:hAnsi="Ping LCG Regular" w:cs="Arial"/>
          <w:spacing w:val="-14"/>
          <w:sz w:val="22"/>
          <w:szCs w:val="22"/>
          <w:lang w:val="el-GR"/>
        </w:rPr>
        <w:t>.</w:t>
      </w:r>
      <w:r w:rsidR="00D7618B" w:rsidRPr="00D7618B">
        <w:rPr>
          <w:rFonts w:ascii="Ping LCG Regular" w:hAnsi="Ping LCG Regular" w:cs="Arial"/>
          <w:spacing w:val="-14"/>
          <w:sz w:val="22"/>
          <w:szCs w:val="22"/>
          <w:lang w:val="el-GR"/>
        </w:rPr>
        <w:t>273</w:t>
      </w:r>
      <w:r w:rsidR="00C92941">
        <w:rPr>
          <w:rFonts w:ascii="Ping LCG Regular" w:hAnsi="Ping LCG Regular" w:cs="Arial"/>
          <w:spacing w:val="-14"/>
          <w:sz w:val="22"/>
          <w:szCs w:val="22"/>
          <w:lang w:val="el-GR"/>
        </w:rPr>
        <w:t>,5</w:t>
      </w:r>
      <w:r w:rsidRPr="00C574ED">
        <w:rPr>
          <w:rFonts w:ascii="Ping LCG Regular" w:hAnsi="Ping LCG Regular" w:cs="Arial"/>
          <w:spacing w:val="-14"/>
          <w:sz w:val="22"/>
          <w:szCs w:val="22"/>
          <w:lang w:val="el-GR"/>
        </w:rPr>
        <w:t xml:space="preserve"> εκατ. (</w:t>
      </w:r>
      <w:r w:rsidR="00C92941">
        <w:rPr>
          <w:rFonts w:ascii="Ping LCG Regular" w:hAnsi="Ping LCG Regular" w:cs="Arial"/>
          <w:spacing w:val="-14"/>
          <w:sz w:val="22"/>
          <w:szCs w:val="22"/>
          <w:lang w:val="el-GR"/>
        </w:rPr>
        <w:t>5</w:t>
      </w:r>
      <w:r w:rsidR="003070FD" w:rsidRPr="002B1BE4">
        <w:rPr>
          <w:rFonts w:ascii="Ping LCG Regular" w:hAnsi="Ping LCG Regular" w:cs="Arial"/>
          <w:spacing w:val="-14"/>
          <w:sz w:val="22"/>
          <w:szCs w:val="22"/>
          <w:lang w:val="el-GR"/>
        </w:rPr>
        <w:t>0</w:t>
      </w:r>
      <w:r w:rsidR="00C92941">
        <w:rPr>
          <w:rFonts w:ascii="Ping LCG Regular" w:hAnsi="Ping LCG Regular" w:cs="Arial"/>
          <w:spacing w:val="-14"/>
          <w:sz w:val="22"/>
          <w:szCs w:val="22"/>
          <w:lang w:val="el-GR"/>
        </w:rPr>
        <w:t>,</w:t>
      </w:r>
      <w:r w:rsidR="003070FD" w:rsidRPr="002B1BE4">
        <w:rPr>
          <w:rFonts w:ascii="Ping LCG Regular" w:hAnsi="Ping LCG Regular" w:cs="Arial"/>
          <w:spacing w:val="-14"/>
          <w:sz w:val="22"/>
          <w:szCs w:val="22"/>
          <w:lang w:val="el-GR"/>
        </w:rPr>
        <w:t>3</w:t>
      </w:r>
      <w:r w:rsidR="00C92941">
        <w:rPr>
          <w:rFonts w:ascii="Ping LCG Regular" w:hAnsi="Ping LCG Regular" w:cs="Arial"/>
          <w:spacing w:val="-14"/>
          <w:sz w:val="22"/>
          <w:szCs w:val="22"/>
          <w:lang w:val="el-GR"/>
        </w:rPr>
        <w:t>%</w:t>
      </w:r>
      <w:r w:rsidRPr="00C574ED">
        <w:rPr>
          <w:rFonts w:ascii="Ping LCG Regular" w:hAnsi="Ping LCG Regular" w:cs="Arial"/>
          <w:spacing w:val="-14"/>
          <w:sz w:val="22"/>
          <w:szCs w:val="22"/>
          <w:lang w:val="el-GR"/>
        </w:rPr>
        <w:t xml:space="preserve">) σε σχέση με το </w:t>
      </w:r>
      <w:r w:rsidR="00C92941">
        <w:rPr>
          <w:rFonts w:ascii="Ping LCG Regular" w:hAnsi="Ping LCG Regular" w:cs="Arial"/>
          <w:spacing w:val="-14"/>
          <w:sz w:val="22"/>
          <w:szCs w:val="22"/>
          <w:lang w:val="el-GR"/>
        </w:rPr>
        <w:t>εννε</w:t>
      </w:r>
      <w:r w:rsidR="00CF2B58">
        <w:rPr>
          <w:rFonts w:ascii="Ping LCG Regular" w:hAnsi="Ping LCG Regular" w:cs="Arial"/>
          <w:spacing w:val="-14"/>
          <w:sz w:val="22"/>
          <w:szCs w:val="22"/>
          <w:lang w:val="el-GR"/>
        </w:rPr>
        <w:t>ά</w:t>
      </w:r>
      <w:r w:rsidR="00F23FA1" w:rsidRPr="00C574ED">
        <w:rPr>
          <w:rFonts w:ascii="Ping LCG Regular" w:hAnsi="Ping LCG Regular" w:cs="Arial"/>
          <w:spacing w:val="-14"/>
          <w:sz w:val="22"/>
          <w:szCs w:val="22"/>
          <w:lang w:val="el-GR"/>
        </w:rPr>
        <w:t>μηνο 2022</w:t>
      </w:r>
      <w:r w:rsidRPr="00C574ED">
        <w:rPr>
          <w:rFonts w:ascii="Ping LCG Regular" w:hAnsi="Ping LCG Regular" w:cs="Arial"/>
          <w:spacing w:val="-14"/>
          <w:sz w:val="22"/>
          <w:szCs w:val="22"/>
          <w:lang w:val="el-GR"/>
        </w:rPr>
        <w:t xml:space="preserve">.  </w:t>
      </w:r>
    </w:p>
    <w:p w14:paraId="2D327C93" w14:textId="77777777" w:rsidR="00A33C79" w:rsidRPr="00C574ED" w:rsidRDefault="00A33C79" w:rsidP="0025244D">
      <w:pPr>
        <w:widowControl w:val="0"/>
        <w:autoSpaceDE w:val="0"/>
        <w:autoSpaceDN w:val="0"/>
        <w:adjustRightInd w:val="0"/>
        <w:ind w:left="284" w:right="21"/>
        <w:jc w:val="both"/>
        <w:rPr>
          <w:rFonts w:ascii="Ping LCG Regular" w:hAnsi="Ping LCG Regular" w:cs="Arial"/>
          <w:spacing w:val="-14"/>
          <w:sz w:val="22"/>
          <w:szCs w:val="22"/>
          <w:lang w:val="el-GR"/>
        </w:rPr>
      </w:pPr>
    </w:p>
    <w:p w14:paraId="1A0E98E9" w14:textId="77777777" w:rsidR="00A33C79" w:rsidRPr="00C574ED" w:rsidRDefault="00A33C79" w:rsidP="0025244D">
      <w:pPr>
        <w:widowControl w:val="0"/>
        <w:autoSpaceDE w:val="0"/>
        <w:autoSpaceDN w:val="0"/>
        <w:adjustRightInd w:val="0"/>
        <w:ind w:left="1" w:right="18"/>
        <w:jc w:val="both"/>
        <w:rPr>
          <w:rFonts w:ascii="Ping LCG Regular" w:hAnsi="Ping LCG Regular" w:cs="Arial"/>
          <w:bCs/>
          <w:i/>
          <w:iCs/>
          <w:spacing w:val="-14"/>
          <w:sz w:val="22"/>
          <w:szCs w:val="22"/>
          <w:lang w:val="el-GR"/>
        </w:rPr>
      </w:pPr>
      <w:bookmarkStart w:id="6" w:name="_Hlk81171604"/>
      <w:r w:rsidRPr="00C574ED">
        <w:rPr>
          <w:rFonts w:ascii="Ping LCG Regular" w:hAnsi="Ping LCG Regular" w:cs="Arial"/>
          <w:bCs/>
          <w:i/>
          <w:iCs/>
          <w:spacing w:val="-14"/>
          <w:sz w:val="22"/>
          <w:szCs w:val="22"/>
          <w:lang w:val="el-GR"/>
        </w:rPr>
        <w:t xml:space="preserve">Δαπάνες Μισθοδοσίας </w:t>
      </w:r>
    </w:p>
    <w:p w14:paraId="56586E72" w14:textId="71D4E769" w:rsidR="00A33C79" w:rsidRPr="00C574ED" w:rsidRDefault="00974600" w:rsidP="0025244D">
      <w:pPr>
        <w:widowControl w:val="0"/>
        <w:autoSpaceDE w:val="0"/>
        <w:autoSpaceDN w:val="0"/>
        <w:adjustRightInd w:val="0"/>
        <w:ind w:left="1" w:right="18"/>
        <w:jc w:val="both"/>
        <w:rPr>
          <w:rFonts w:ascii="Ping LCG Regular" w:hAnsi="Ping LCG Regular" w:cs="Arial"/>
          <w:bCs/>
          <w:spacing w:val="-14"/>
          <w:sz w:val="22"/>
          <w:szCs w:val="22"/>
          <w:lang w:val="el-GR"/>
        </w:rPr>
      </w:pPr>
      <w:r w:rsidRPr="00C574ED">
        <w:rPr>
          <w:rFonts w:ascii="Ping LCG Regular" w:hAnsi="Ping LCG Regular" w:cs="Arial"/>
          <w:bCs/>
          <w:spacing w:val="-14"/>
          <w:sz w:val="22"/>
          <w:szCs w:val="22"/>
          <w:lang w:val="el-GR"/>
        </w:rPr>
        <w:t xml:space="preserve">Η δαπάνη μισθοδοσίας </w:t>
      </w:r>
      <w:r w:rsidR="00E7653E" w:rsidRPr="00E7653E">
        <w:rPr>
          <w:rFonts w:ascii="Ping LCG Regular" w:hAnsi="Ping LCG Regular" w:cs="Arial"/>
          <w:bCs/>
          <w:spacing w:val="-14"/>
          <w:sz w:val="22"/>
          <w:szCs w:val="22"/>
          <w:lang w:val="el-GR"/>
        </w:rPr>
        <w:t xml:space="preserve">χωρίς τις εφάπαξ επιπτώσεις, </w:t>
      </w:r>
      <w:r w:rsidR="006D5CD8">
        <w:rPr>
          <w:rFonts w:ascii="Ping LCG Regular" w:hAnsi="Ping LCG Regular" w:cs="Arial"/>
          <w:bCs/>
          <w:spacing w:val="-14"/>
          <w:sz w:val="22"/>
          <w:szCs w:val="22"/>
          <w:lang w:val="el-GR"/>
        </w:rPr>
        <w:t>διαμορφώθηκε</w:t>
      </w:r>
      <w:r w:rsidR="00034A2F">
        <w:rPr>
          <w:rFonts w:ascii="Ping LCG Regular" w:hAnsi="Ping LCG Regular" w:cs="Arial"/>
          <w:bCs/>
          <w:spacing w:val="-14"/>
          <w:sz w:val="22"/>
          <w:szCs w:val="22"/>
          <w:lang w:val="el-GR"/>
        </w:rPr>
        <w:t xml:space="preserve"> </w:t>
      </w:r>
      <w:r w:rsidR="009B2557">
        <w:rPr>
          <w:rFonts w:ascii="Ping LCG Regular" w:hAnsi="Ping LCG Regular" w:cs="Arial"/>
          <w:bCs/>
          <w:spacing w:val="-14"/>
          <w:sz w:val="22"/>
          <w:szCs w:val="22"/>
          <w:lang w:val="el-GR"/>
        </w:rPr>
        <w:t>στα €</w:t>
      </w:r>
      <w:r w:rsidR="00310942">
        <w:rPr>
          <w:rFonts w:ascii="Ping LCG Regular" w:hAnsi="Ping LCG Regular" w:cs="Arial"/>
          <w:bCs/>
          <w:spacing w:val="-14"/>
          <w:sz w:val="22"/>
          <w:szCs w:val="22"/>
          <w:lang w:val="el-GR"/>
        </w:rPr>
        <w:t>54</w:t>
      </w:r>
      <w:r w:rsidR="00457A94" w:rsidRPr="006322FA">
        <w:rPr>
          <w:rFonts w:ascii="Ping LCG Regular" w:hAnsi="Ping LCG Regular" w:cs="Arial"/>
          <w:bCs/>
          <w:spacing w:val="-14"/>
          <w:sz w:val="22"/>
          <w:szCs w:val="22"/>
          <w:lang w:val="el-GR"/>
        </w:rPr>
        <w:t>1</w:t>
      </w:r>
      <w:r w:rsidR="009B2557">
        <w:rPr>
          <w:rFonts w:ascii="Ping LCG Regular" w:hAnsi="Ping LCG Regular" w:cs="Arial"/>
          <w:bCs/>
          <w:spacing w:val="-14"/>
          <w:sz w:val="22"/>
          <w:szCs w:val="22"/>
          <w:lang w:val="el-GR"/>
        </w:rPr>
        <w:t xml:space="preserve"> εκατ</w:t>
      </w:r>
      <w:r w:rsidR="00D52E9F" w:rsidRPr="006322FA">
        <w:rPr>
          <w:rFonts w:ascii="Ping LCG Regular" w:hAnsi="Ping LCG Regular" w:cs="Arial"/>
          <w:bCs/>
          <w:spacing w:val="-14"/>
          <w:sz w:val="22"/>
          <w:szCs w:val="22"/>
          <w:lang w:val="el-GR"/>
        </w:rPr>
        <w:t>.</w:t>
      </w:r>
      <w:r w:rsidRPr="00C574ED">
        <w:rPr>
          <w:rFonts w:ascii="Ping LCG Regular" w:hAnsi="Ping LCG Regular" w:cs="Arial"/>
          <w:bCs/>
          <w:spacing w:val="-14"/>
          <w:sz w:val="22"/>
          <w:szCs w:val="22"/>
          <w:lang w:val="el-GR"/>
        </w:rPr>
        <w:t xml:space="preserve"> το </w:t>
      </w:r>
      <w:r w:rsidR="009B2557">
        <w:rPr>
          <w:rFonts w:ascii="Ping LCG Regular" w:hAnsi="Ping LCG Regular" w:cs="Arial"/>
          <w:bCs/>
          <w:spacing w:val="-14"/>
          <w:sz w:val="22"/>
          <w:szCs w:val="22"/>
          <w:lang w:val="el-GR"/>
        </w:rPr>
        <w:t>ε</w:t>
      </w:r>
      <w:r w:rsidR="00574561">
        <w:rPr>
          <w:rFonts w:ascii="Ping LCG Regular" w:hAnsi="Ping LCG Regular" w:cs="Arial"/>
          <w:bCs/>
          <w:spacing w:val="-14"/>
          <w:sz w:val="22"/>
          <w:szCs w:val="22"/>
          <w:lang w:val="el-GR"/>
        </w:rPr>
        <w:t>ννε</w:t>
      </w:r>
      <w:r w:rsidR="009B2557">
        <w:rPr>
          <w:rFonts w:ascii="Ping LCG Regular" w:hAnsi="Ping LCG Regular" w:cs="Arial"/>
          <w:bCs/>
          <w:spacing w:val="-14"/>
          <w:sz w:val="22"/>
          <w:szCs w:val="22"/>
          <w:lang w:val="el-GR"/>
        </w:rPr>
        <w:t>ά</w:t>
      </w:r>
      <w:r w:rsidRPr="00C574ED">
        <w:rPr>
          <w:rFonts w:ascii="Ping LCG Regular" w:hAnsi="Ping LCG Regular" w:cs="Arial"/>
          <w:bCs/>
          <w:spacing w:val="-14"/>
          <w:sz w:val="22"/>
          <w:szCs w:val="22"/>
          <w:lang w:val="el-GR"/>
        </w:rPr>
        <w:t>μηνο 2023</w:t>
      </w:r>
      <w:r w:rsidR="009B2A8B" w:rsidRPr="00C574ED">
        <w:rPr>
          <w:rFonts w:ascii="Ping LCG Regular" w:hAnsi="Ping LCG Regular" w:cs="Arial"/>
          <w:bCs/>
          <w:spacing w:val="-14"/>
          <w:sz w:val="22"/>
          <w:szCs w:val="22"/>
          <w:lang w:val="el-GR"/>
        </w:rPr>
        <w:t xml:space="preserve"> </w:t>
      </w:r>
      <w:r w:rsidR="00DA06F2">
        <w:rPr>
          <w:rFonts w:ascii="Ping LCG Regular" w:hAnsi="Ping LCG Regular" w:cs="Arial"/>
          <w:bCs/>
          <w:spacing w:val="-14"/>
          <w:sz w:val="22"/>
          <w:szCs w:val="22"/>
          <w:lang w:val="el-GR"/>
        </w:rPr>
        <w:t>από €</w:t>
      </w:r>
      <w:r w:rsidR="00E5073A">
        <w:rPr>
          <w:rFonts w:ascii="Ping LCG Regular" w:hAnsi="Ping LCG Regular" w:cs="Arial"/>
          <w:bCs/>
          <w:spacing w:val="-14"/>
          <w:sz w:val="22"/>
          <w:szCs w:val="22"/>
          <w:lang w:val="el-GR"/>
        </w:rPr>
        <w:t>532,3</w:t>
      </w:r>
      <w:r w:rsidR="00DA06F2">
        <w:rPr>
          <w:rFonts w:ascii="Ping LCG Regular" w:hAnsi="Ping LCG Regular" w:cs="Arial"/>
          <w:bCs/>
          <w:spacing w:val="-14"/>
          <w:sz w:val="22"/>
          <w:szCs w:val="22"/>
          <w:lang w:val="el-GR"/>
        </w:rPr>
        <w:t xml:space="preserve"> εκατ., </w:t>
      </w:r>
      <w:r w:rsidR="009B2A8B" w:rsidRPr="00C574ED">
        <w:rPr>
          <w:rFonts w:ascii="Ping LCG Regular" w:hAnsi="Ping LCG Regular" w:cs="Arial"/>
          <w:bCs/>
          <w:spacing w:val="-14"/>
          <w:sz w:val="22"/>
          <w:szCs w:val="22"/>
          <w:lang w:val="el-GR"/>
        </w:rPr>
        <w:t xml:space="preserve">με το </w:t>
      </w:r>
      <w:r w:rsidRPr="00C574ED">
        <w:rPr>
          <w:rFonts w:ascii="Ping LCG Regular" w:hAnsi="Ping LCG Regular" w:cs="Arial"/>
          <w:bCs/>
          <w:spacing w:val="-14"/>
          <w:sz w:val="22"/>
          <w:szCs w:val="22"/>
          <w:lang w:val="el-GR"/>
        </w:rPr>
        <w:t xml:space="preserve"> μισθοδοτούμενο τακτικό προσωπικό </w:t>
      </w:r>
      <w:r w:rsidR="009B2A8B" w:rsidRPr="00C574ED">
        <w:rPr>
          <w:rFonts w:ascii="Ping LCG Regular" w:hAnsi="Ping LCG Regular" w:cs="Arial"/>
          <w:bCs/>
          <w:spacing w:val="-14"/>
          <w:sz w:val="22"/>
          <w:szCs w:val="22"/>
          <w:lang w:val="el-GR"/>
        </w:rPr>
        <w:t xml:space="preserve">να </w:t>
      </w:r>
      <w:r w:rsidR="00707AE4" w:rsidRPr="00584E35">
        <w:rPr>
          <w:rFonts w:ascii="Ping LCG Regular" w:hAnsi="Ping LCG Regular" w:cs="Arial"/>
          <w:bCs/>
          <w:spacing w:val="-14"/>
          <w:sz w:val="22"/>
          <w:szCs w:val="22"/>
          <w:lang w:val="el-GR"/>
        </w:rPr>
        <w:t>διαμορφώνεται σε</w:t>
      </w:r>
      <w:r w:rsidR="00481BC5" w:rsidRPr="00584E35">
        <w:rPr>
          <w:rFonts w:ascii="Ping LCG Regular" w:hAnsi="Ping LCG Regular" w:cs="Arial"/>
          <w:bCs/>
          <w:spacing w:val="-14"/>
          <w:sz w:val="22"/>
          <w:szCs w:val="22"/>
          <w:lang w:val="el-GR"/>
        </w:rPr>
        <w:t xml:space="preserve"> </w:t>
      </w:r>
      <w:r w:rsidR="00BF3618" w:rsidRPr="00584E35">
        <w:rPr>
          <w:rFonts w:ascii="Ping LCG Regular" w:hAnsi="Ping LCG Regular" w:cs="Arial"/>
          <w:bCs/>
          <w:spacing w:val="-14"/>
          <w:sz w:val="22"/>
          <w:szCs w:val="22"/>
          <w:lang w:val="el-GR"/>
        </w:rPr>
        <w:t>12</w:t>
      </w:r>
      <w:r w:rsidR="00E5073A" w:rsidRPr="00584E35">
        <w:rPr>
          <w:rFonts w:ascii="Ping LCG Regular" w:hAnsi="Ping LCG Regular" w:cs="Arial"/>
          <w:bCs/>
          <w:spacing w:val="-14"/>
          <w:sz w:val="22"/>
          <w:szCs w:val="22"/>
          <w:lang w:val="el-GR"/>
        </w:rPr>
        <w:t>.</w:t>
      </w:r>
      <w:r w:rsidR="00584E35" w:rsidRPr="00584E35">
        <w:rPr>
          <w:rFonts w:ascii="Ping LCG Regular" w:hAnsi="Ping LCG Regular" w:cs="Arial"/>
          <w:bCs/>
          <w:spacing w:val="-14"/>
          <w:sz w:val="22"/>
          <w:szCs w:val="22"/>
          <w:lang w:val="el-GR"/>
        </w:rPr>
        <w:t>970</w:t>
      </w:r>
      <w:r w:rsidRPr="00584E35">
        <w:rPr>
          <w:rFonts w:ascii="Ping LCG Regular" w:hAnsi="Ping LCG Regular" w:cs="Arial"/>
          <w:bCs/>
          <w:spacing w:val="-14"/>
          <w:sz w:val="22"/>
          <w:szCs w:val="22"/>
          <w:lang w:val="el-GR"/>
        </w:rPr>
        <w:t xml:space="preserve"> εργαζόμενους</w:t>
      </w:r>
      <w:r w:rsidRPr="00C574ED">
        <w:rPr>
          <w:rFonts w:ascii="Ping LCG Regular" w:hAnsi="Ping LCG Regular" w:cs="Arial"/>
          <w:bCs/>
          <w:spacing w:val="-14"/>
          <w:sz w:val="22"/>
          <w:szCs w:val="22"/>
          <w:lang w:val="el-GR"/>
        </w:rPr>
        <w:t xml:space="preserve"> (από 12.</w:t>
      </w:r>
      <w:r w:rsidR="00A14CA1">
        <w:rPr>
          <w:rFonts w:ascii="Ping LCG Regular" w:hAnsi="Ping LCG Regular" w:cs="Arial"/>
          <w:bCs/>
          <w:spacing w:val="-14"/>
          <w:sz w:val="22"/>
          <w:szCs w:val="22"/>
          <w:lang w:val="el-GR"/>
        </w:rPr>
        <w:t>678</w:t>
      </w:r>
      <w:r w:rsidRPr="00C574ED">
        <w:rPr>
          <w:rFonts w:ascii="Ping LCG Regular" w:hAnsi="Ping LCG Regular" w:cs="Arial"/>
          <w:bCs/>
          <w:spacing w:val="-14"/>
          <w:sz w:val="22"/>
          <w:szCs w:val="22"/>
          <w:lang w:val="el-GR"/>
        </w:rPr>
        <w:t xml:space="preserve"> εργαζόμενους στο τέλος του </w:t>
      </w:r>
      <w:r w:rsidR="00A14CA1">
        <w:rPr>
          <w:rFonts w:ascii="Ping LCG Regular" w:hAnsi="Ping LCG Regular" w:cs="Arial"/>
          <w:bCs/>
          <w:spacing w:val="-14"/>
          <w:sz w:val="22"/>
          <w:szCs w:val="22"/>
          <w:lang w:val="el-GR"/>
        </w:rPr>
        <w:t>εννε</w:t>
      </w:r>
      <w:r w:rsidR="00034A2F">
        <w:rPr>
          <w:rFonts w:ascii="Ping LCG Regular" w:hAnsi="Ping LCG Regular" w:cs="Arial"/>
          <w:bCs/>
          <w:spacing w:val="-14"/>
          <w:sz w:val="22"/>
          <w:szCs w:val="22"/>
          <w:lang w:val="el-GR"/>
        </w:rPr>
        <w:t>αμ</w:t>
      </w:r>
      <w:r w:rsidRPr="00C574ED">
        <w:rPr>
          <w:rFonts w:ascii="Ping LCG Regular" w:hAnsi="Ping LCG Regular" w:cs="Arial"/>
          <w:bCs/>
          <w:spacing w:val="-14"/>
          <w:sz w:val="22"/>
          <w:szCs w:val="22"/>
          <w:lang w:val="el-GR"/>
        </w:rPr>
        <w:t>ήνου 2022).</w:t>
      </w:r>
    </w:p>
    <w:p w14:paraId="1991E9C0" w14:textId="77777777" w:rsidR="00A33C79" w:rsidRPr="00C574ED" w:rsidRDefault="00A33C79" w:rsidP="0025244D">
      <w:pPr>
        <w:widowControl w:val="0"/>
        <w:autoSpaceDE w:val="0"/>
        <w:autoSpaceDN w:val="0"/>
        <w:adjustRightInd w:val="0"/>
        <w:ind w:left="1" w:right="18"/>
        <w:jc w:val="both"/>
        <w:rPr>
          <w:rFonts w:ascii="Ping LCG Regular" w:hAnsi="Ping LCG Regular" w:cs="Arial"/>
          <w:bCs/>
          <w:spacing w:val="-14"/>
          <w:sz w:val="22"/>
          <w:szCs w:val="22"/>
          <w:lang w:val="el-GR"/>
        </w:rPr>
      </w:pPr>
    </w:p>
    <w:bookmarkEnd w:id="6"/>
    <w:p w14:paraId="31955A42" w14:textId="77777777" w:rsidR="001E04A7" w:rsidRPr="00C574ED" w:rsidRDefault="001E04A7" w:rsidP="0025244D">
      <w:pPr>
        <w:widowControl w:val="0"/>
        <w:autoSpaceDE w:val="0"/>
        <w:autoSpaceDN w:val="0"/>
        <w:adjustRightInd w:val="0"/>
        <w:ind w:left="1" w:right="18"/>
        <w:jc w:val="both"/>
        <w:rPr>
          <w:rFonts w:ascii="Ping LCG Regular" w:hAnsi="Ping LCG Regular" w:cs="Arial"/>
          <w:bCs/>
          <w:i/>
          <w:iCs/>
          <w:spacing w:val="-14"/>
          <w:sz w:val="22"/>
          <w:szCs w:val="22"/>
          <w:lang w:val="el-GR"/>
        </w:rPr>
      </w:pPr>
      <w:r w:rsidRPr="00C574ED">
        <w:rPr>
          <w:rFonts w:ascii="Ping LCG Regular" w:hAnsi="Ping LCG Regular" w:cs="Arial"/>
          <w:bCs/>
          <w:i/>
          <w:iCs/>
          <w:spacing w:val="-14"/>
          <w:sz w:val="22"/>
          <w:szCs w:val="22"/>
          <w:lang w:val="el-GR"/>
        </w:rPr>
        <w:t>Προβλέψεις</w:t>
      </w:r>
    </w:p>
    <w:p w14:paraId="49B46C25" w14:textId="0053794A" w:rsidR="001E04A7" w:rsidRPr="00821F3C" w:rsidRDefault="00C56BDE" w:rsidP="0025244D">
      <w:pPr>
        <w:jc w:val="both"/>
        <w:rPr>
          <w:rFonts w:ascii="Ping LCG Regular" w:hAnsi="Ping LCG Regular" w:cs="Arial"/>
          <w:b/>
          <w:spacing w:val="-14"/>
          <w:sz w:val="22"/>
          <w:szCs w:val="22"/>
          <w:lang w:val="el-GR"/>
        </w:rPr>
      </w:pPr>
      <w:r>
        <w:rPr>
          <w:rFonts w:ascii="Ping LCG Regular" w:hAnsi="Ping LCG Regular" w:cs="Arial"/>
          <w:bCs/>
          <w:spacing w:val="-14"/>
          <w:sz w:val="22"/>
          <w:szCs w:val="22"/>
          <w:lang w:val="el-GR"/>
        </w:rPr>
        <w:t>Ο</w:t>
      </w:r>
      <w:r w:rsidR="003E0167">
        <w:rPr>
          <w:rFonts w:ascii="Ping LCG Regular" w:hAnsi="Ping LCG Regular" w:cs="Arial"/>
          <w:bCs/>
          <w:spacing w:val="-14"/>
          <w:sz w:val="22"/>
          <w:szCs w:val="22"/>
          <w:lang w:val="el-GR"/>
        </w:rPr>
        <w:t xml:space="preserve">ι </w:t>
      </w:r>
      <w:r w:rsidRPr="00821F3C">
        <w:rPr>
          <w:rFonts w:ascii="Ping LCG Regular" w:hAnsi="Ping LCG Regular" w:cs="Arial"/>
          <w:bCs/>
          <w:spacing w:val="-14"/>
          <w:sz w:val="22"/>
          <w:szCs w:val="22"/>
          <w:lang w:val="el-GR"/>
        </w:rPr>
        <w:t>προβλέψε</w:t>
      </w:r>
      <w:r w:rsidR="003E0167">
        <w:rPr>
          <w:rFonts w:ascii="Ping LCG Regular" w:hAnsi="Ping LCG Regular" w:cs="Arial"/>
          <w:bCs/>
          <w:spacing w:val="-14"/>
          <w:sz w:val="22"/>
          <w:szCs w:val="22"/>
          <w:lang w:val="el-GR"/>
        </w:rPr>
        <w:t>ις</w:t>
      </w:r>
      <w:r w:rsidRPr="00821F3C">
        <w:rPr>
          <w:rFonts w:ascii="Ping LCG Regular" w:hAnsi="Ping LCG Regular" w:cs="Arial"/>
          <w:bCs/>
          <w:spacing w:val="-14"/>
          <w:sz w:val="22"/>
          <w:szCs w:val="22"/>
          <w:lang w:val="el-GR"/>
        </w:rPr>
        <w:t xml:space="preserve"> για επισφαλείς απαιτήσεις πελατών</w:t>
      </w:r>
      <w:r>
        <w:rPr>
          <w:rFonts w:ascii="Ping LCG Regular" w:hAnsi="Ping LCG Regular" w:cs="Arial"/>
          <w:bCs/>
          <w:spacing w:val="-14"/>
          <w:sz w:val="22"/>
          <w:szCs w:val="22"/>
          <w:lang w:val="el-GR"/>
        </w:rPr>
        <w:t xml:space="preserve"> </w:t>
      </w:r>
      <w:r w:rsidR="003E0167">
        <w:rPr>
          <w:rFonts w:ascii="Ping LCG Regular" w:hAnsi="Ping LCG Regular" w:cs="Arial"/>
          <w:bCs/>
          <w:spacing w:val="-14"/>
          <w:sz w:val="22"/>
          <w:szCs w:val="22"/>
          <w:lang w:val="el-GR"/>
        </w:rPr>
        <w:t xml:space="preserve">διαμορφώθηκαν σε </w:t>
      </w:r>
      <w:r w:rsidR="003E0167" w:rsidRPr="00821F3C">
        <w:rPr>
          <w:rFonts w:ascii="Ping LCG Regular" w:hAnsi="Ping LCG Regular" w:cs="Arial"/>
          <w:bCs/>
          <w:spacing w:val="-14"/>
          <w:sz w:val="22"/>
          <w:szCs w:val="22"/>
          <w:lang w:val="el-GR"/>
        </w:rPr>
        <w:t>€</w:t>
      </w:r>
      <w:r w:rsidR="003E0167">
        <w:rPr>
          <w:rFonts w:ascii="Ping LCG Regular" w:hAnsi="Ping LCG Regular" w:cs="Arial"/>
          <w:bCs/>
          <w:spacing w:val="-14"/>
          <w:sz w:val="22"/>
          <w:szCs w:val="22"/>
          <w:lang w:val="el-GR"/>
        </w:rPr>
        <w:t>14</w:t>
      </w:r>
      <w:r w:rsidR="0080766C">
        <w:rPr>
          <w:rFonts w:ascii="Ping LCG Regular" w:hAnsi="Ping LCG Regular" w:cs="Arial"/>
          <w:bCs/>
          <w:spacing w:val="-14"/>
          <w:sz w:val="22"/>
          <w:szCs w:val="22"/>
          <w:lang w:val="el-GR"/>
        </w:rPr>
        <w:t>3,9</w:t>
      </w:r>
      <w:r w:rsidR="003E0167" w:rsidRPr="00821F3C">
        <w:rPr>
          <w:rFonts w:ascii="Ping LCG Regular" w:hAnsi="Ping LCG Regular" w:cs="Arial"/>
          <w:bCs/>
          <w:spacing w:val="-14"/>
          <w:sz w:val="22"/>
          <w:szCs w:val="22"/>
          <w:lang w:val="el-GR"/>
        </w:rPr>
        <w:t xml:space="preserve"> </w:t>
      </w:r>
      <w:r w:rsidR="003E0167">
        <w:rPr>
          <w:rFonts w:ascii="Ping LCG Regular" w:hAnsi="Ping LCG Regular" w:cs="Arial"/>
          <w:bCs/>
          <w:spacing w:val="-14"/>
          <w:sz w:val="22"/>
          <w:szCs w:val="22"/>
          <w:lang w:val="el-GR"/>
        </w:rPr>
        <w:t xml:space="preserve">εκατ. </w:t>
      </w:r>
      <w:r>
        <w:rPr>
          <w:rFonts w:ascii="Ping LCG Regular" w:hAnsi="Ping LCG Regular" w:cs="Arial"/>
          <w:bCs/>
          <w:spacing w:val="-14"/>
          <w:sz w:val="22"/>
          <w:szCs w:val="22"/>
          <w:lang w:val="el-GR"/>
        </w:rPr>
        <w:t>το εννε</w:t>
      </w:r>
      <w:r w:rsidRPr="00821F3C">
        <w:rPr>
          <w:rFonts w:ascii="Ping LCG Regular" w:hAnsi="Ping LCG Regular" w:cs="Arial"/>
          <w:bCs/>
          <w:spacing w:val="-14"/>
          <w:sz w:val="22"/>
          <w:szCs w:val="22"/>
          <w:lang w:val="el-GR"/>
        </w:rPr>
        <w:t xml:space="preserve">άμηνο 2023 </w:t>
      </w:r>
      <w:r w:rsidR="003E0167">
        <w:rPr>
          <w:rFonts w:ascii="Ping LCG Regular" w:hAnsi="Ping LCG Regular" w:cs="Arial"/>
          <w:bCs/>
          <w:spacing w:val="-14"/>
          <w:sz w:val="22"/>
          <w:szCs w:val="22"/>
          <w:lang w:val="el-GR"/>
        </w:rPr>
        <w:t>έ</w:t>
      </w:r>
      <w:r w:rsidR="001E04A7" w:rsidRPr="00821F3C">
        <w:rPr>
          <w:rFonts w:ascii="Ping LCG Regular" w:hAnsi="Ping LCG Regular" w:cs="Arial"/>
          <w:bCs/>
          <w:spacing w:val="-14"/>
          <w:sz w:val="22"/>
          <w:szCs w:val="22"/>
          <w:lang w:val="el-GR"/>
        </w:rPr>
        <w:t>ναντι €</w:t>
      </w:r>
      <w:r w:rsidR="00081CB4">
        <w:rPr>
          <w:rFonts w:ascii="Ping LCG Regular" w:hAnsi="Ping LCG Regular" w:cs="Arial"/>
          <w:bCs/>
          <w:spacing w:val="-14"/>
          <w:sz w:val="22"/>
          <w:szCs w:val="22"/>
          <w:lang w:val="el-GR"/>
        </w:rPr>
        <w:t>186,1</w:t>
      </w:r>
      <w:r w:rsidR="001E04A7" w:rsidRPr="00821F3C">
        <w:rPr>
          <w:rFonts w:ascii="Ping LCG Regular" w:hAnsi="Ping LCG Regular" w:cs="Arial"/>
          <w:bCs/>
          <w:spacing w:val="-14"/>
          <w:sz w:val="22"/>
          <w:szCs w:val="22"/>
          <w:lang w:val="el-GR"/>
        </w:rPr>
        <w:t xml:space="preserve"> εκατ. </w:t>
      </w:r>
      <w:r w:rsidR="001E04A7" w:rsidRPr="00821F3C">
        <w:rPr>
          <w:rFonts w:ascii="Ping LCG Regular" w:hAnsi="Ping LCG Regular" w:cs="Arial"/>
          <w:b/>
          <w:bCs/>
          <w:spacing w:val="-14"/>
          <w:sz w:val="22"/>
          <w:szCs w:val="22"/>
          <w:lang w:val="el-GR"/>
        </w:rPr>
        <w:t xml:space="preserve"> </w:t>
      </w:r>
      <w:r w:rsidR="001E04A7" w:rsidRPr="00821F3C">
        <w:rPr>
          <w:rFonts w:ascii="Ping LCG Regular" w:hAnsi="Ping LCG Regular" w:cs="Arial"/>
          <w:bCs/>
          <w:spacing w:val="-14"/>
          <w:sz w:val="22"/>
          <w:szCs w:val="22"/>
          <w:lang w:val="el-GR"/>
        </w:rPr>
        <w:t xml:space="preserve">το </w:t>
      </w:r>
      <w:r w:rsidR="00081CB4">
        <w:rPr>
          <w:rFonts w:ascii="Ping LCG Regular" w:hAnsi="Ping LCG Regular" w:cs="Arial"/>
          <w:bCs/>
          <w:spacing w:val="-14"/>
          <w:sz w:val="22"/>
          <w:szCs w:val="22"/>
          <w:lang w:val="el-GR"/>
        </w:rPr>
        <w:t>εννε</w:t>
      </w:r>
      <w:r w:rsidR="001E04A7" w:rsidRPr="00821F3C">
        <w:rPr>
          <w:rFonts w:ascii="Ping LCG Regular" w:hAnsi="Ping LCG Regular" w:cs="Arial"/>
          <w:bCs/>
          <w:spacing w:val="-14"/>
          <w:sz w:val="22"/>
          <w:szCs w:val="22"/>
          <w:lang w:val="el-GR"/>
        </w:rPr>
        <w:t xml:space="preserve">άμηνο του 2022. </w:t>
      </w:r>
    </w:p>
    <w:p w14:paraId="02504BCB" w14:textId="77777777" w:rsidR="00A33C79" w:rsidRDefault="00A33C79" w:rsidP="0025244D">
      <w:pPr>
        <w:widowControl w:val="0"/>
        <w:autoSpaceDE w:val="0"/>
        <w:autoSpaceDN w:val="0"/>
        <w:adjustRightInd w:val="0"/>
        <w:ind w:right="20"/>
        <w:jc w:val="both"/>
        <w:rPr>
          <w:rFonts w:ascii="Ping LCG Regular" w:hAnsi="Ping LCG Regular" w:cs="Arial"/>
          <w:b/>
          <w:spacing w:val="-14"/>
          <w:sz w:val="22"/>
          <w:szCs w:val="22"/>
          <w:lang w:val="el-GR"/>
        </w:rPr>
      </w:pPr>
    </w:p>
    <w:p w14:paraId="119A8807" w14:textId="77777777" w:rsidR="00A3314B" w:rsidRPr="00821F3C" w:rsidRDefault="00A3314B" w:rsidP="00821F3C">
      <w:pPr>
        <w:widowControl w:val="0"/>
        <w:autoSpaceDE w:val="0"/>
        <w:autoSpaceDN w:val="0"/>
        <w:adjustRightInd w:val="0"/>
        <w:ind w:right="20"/>
        <w:jc w:val="both"/>
        <w:rPr>
          <w:rFonts w:ascii="Ping LCG Regular" w:hAnsi="Ping LCG Regular" w:cs="Arial"/>
          <w:b/>
          <w:spacing w:val="-14"/>
          <w:sz w:val="22"/>
          <w:szCs w:val="22"/>
          <w:lang w:val="el-GR"/>
        </w:rPr>
      </w:pPr>
      <w:r w:rsidRPr="00821F3C">
        <w:rPr>
          <w:rFonts w:ascii="Ping LCG Regular" w:hAnsi="Ping LCG Regular" w:cs="Arial"/>
          <w:b/>
          <w:spacing w:val="-14"/>
          <w:sz w:val="22"/>
          <w:szCs w:val="22"/>
          <w:lang w:val="el-GR"/>
        </w:rPr>
        <w:t>Εφάπαξ επιπτώσεις στο EBITDA</w:t>
      </w:r>
    </w:p>
    <w:p w14:paraId="7061211F" w14:textId="77777777" w:rsidR="00A3314B" w:rsidRPr="000D3092" w:rsidRDefault="00A3314B" w:rsidP="00A3314B">
      <w:pPr>
        <w:jc w:val="both"/>
        <w:rPr>
          <w:rFonts w:ascii="Ping LCG Regular" w:hAnsi="Ping LCG Regular" w:cs="Arial"/>
          <w:spacing w:val="-14"/>
          <w:lang w:val="el-GR"/>
        </w:rPr>
      </w:pPr>
    </w:p>
    <w:p w14:paraId="6235AB77" w14:textId="39896E0C" w:rsidR="00A3314B" w:rsidRDefault="00557D0B" w:rsidP="00821F3C">
      <w:pPr>
        <w:jc w:val="both"/>
        <w:rPr>
          <w:rFonts w:ascii="Ping LCG Regular" w:hAnsi="Ping LCG Regular" w:cs="Arial"/>
          <w:spacing w:val="-14"/>
          <w:sz w:val="22"/>
          <w:szCs w:val="22"/>
          <w:lang w:val="el-GR"/>
        </w:rPr>
      </w:pPr>
      <w:r>
        <w:rPr>
          <w:rFonts w:ascii="Ping LCG Regular" w:hAnsi="Ping LCG Regular" w:cs="Arial"/>
          <w:spacing w:val="-14"/>
          <w:sz w:val="22"/>
          <w:szCs w:val="22"/>
          <w:lang w:val="el-GR"/>
        </w:rPr>
        <w:t>Τα μεγέθη</w:t>
      </w:r>
      <w:r w:rsidR="00A3314B" w:rsidRPr="00821F3C">
        <w:rPr>
          <w:rFonts w:ascii="Ping LCG Regular" w:hAnsi="Ping LCG Regular" w:cs="Arial"/>
          <w:spacing w:val="-14"/>
          <w:sz w:val="22"/>
          <w:szCs w:val="22"/>
          <w:lang w:val="el-GR"/>
        </w:rPr>
        <w:t xml:space="preserve"> του </w:t>
      </w:r>
      <w:r w:rsidR="0029439F">
        <w:rPr>
          <w:rFonts w:ascii="Ping LCG Regular" w:hAnsi="Ping LCG Regular" w:cs="Arial"/>
          <w:spacing w:val="-14"/>
          <w:sz w:val="22"/>
          <w:szCs w:val="22"/>
          <w:lang w:val="el-GR"/>
        </w:rPr>
        <w:t>εννε</w:t>
      </w:r>
      <w:r w:rsidR="000D3092" w:rsidRPr="00821F3C">
        <w:rPr>
          <w:rFonts w:ascii="Ping LCG Regular" w:hAnsi="Ping LCG Regular" w:cs="Arial"/>
          <w:spacing w:val="-14"/>
          <w:sz w:val="22"/>
          <w:szCs w:val="22"/>
          <w:lang w:val="el-GR"/>
        </w:rPr>
        <w:t xml:space="preserve">αμήνου 2023 </w:t>
      </w:r>
      <w:r w:rsidR="002A4913">
        <w:rPr>
          <w:rFonts w:ascii="Ping LCG Regular" w:hAnsi="Ping LCG Regular" w:cs="Arial"/>
          <w:spacing w:val="-14"/>
          <w:sz w:val="22"/>
          <w:szCs w:val="22"/>
          <w:lang w:val="el-GR"/>
        </w:rPr>
        <w:t xml:space="preserve">έχουν προσαρμοστεί </w:t>
      </w:r>
      <w:r w:rsidR="00140E8D">
        <w:rPr>
          <w:rFonts w:ascii="Ping LCG Regular" w:hAnsi="Ping LCG Regular" w:cs="Arial"/>
          <w:spacing w:val="-14"/>
          <w:sz w:val="22"/>
          <w:szCs w:val="22"/>
          <w:lang w:val="el-GR"/>
        </w:rPr>
        <w:t>για</w:t>
      </w:r>
      <w:r w:rsidR="00A3314B" w:rsidRPr="00821F3C">
        <w:rPr>
          <w:rFonts w:ascii="Ping LCG Regular" w:hAnsi="Ping LCG Regular" w:cs="Arial"/>
          <w:spacing w:val="-14"/>
          <w:sz w:val="22"/>
          <w:szCs w:val="22"/>
          <w:lang w:val="el-GR"/>
        </w:rPr>
        <w:t xml:space="preserve"> την πρόβλεψη για αποζημιώσεις προσωπικού ύψους €</w:t>
      </w:r>
      <w:r w:rsidR="00CB4718">
        <w:rPr>
          <w:rFonts w:ascii="Ping LCG Regular" w:hAnsi="Ping LCG Regular" w:cs="Arial"/>
          <w:spacing w:val="-14"/>
          <w:sz w:val="22"/>
          <w:szCs w:val="22"/>
          <w:lang w:val="el-GR"/>
        </w:rPr>
        <w:t>21,3</w:t>
      </w:r>
      <w:r w:rsidR="00A3314B" w:rsidRPr="00821F3C">
        <w:rPr>
          <w:rFonts w:ascii="Ping LCG Regular" w:hAnsi="Ping LCG Regular" w:cs="Arial"/>
          <w:spacing w:val="-14"/>
          <w:sz w:val="22"/>
          <w:szCs w:val="22"/>
          <w:lang w:val="el-GR"/>
        </w:rPr>
        <w:t xml:space="preserve"> εκατ. </w:t>
      </w:r>
    </w:p>
    <w:p w14:paraId="10E778FC" w14:textId="41D50979" w:rsidR="004D5C0F" w:rsidRPr="00655DC5" w:rsidRDefault="00140E8D" w:rsidP="00821F3C">
      <w:pPr>
        <w:jc w:val="both"/>
        <w:rPr>
          <w:rFonts w:ascii="Ping LCG Regular" w:hAnsi="Ping LCG Regular" w:cs="Arial"/>
          <w:spacing w:val="-14"/>
          <w:sz w:val="22"/>
          <w:szCs w:val="22"/>
          <w:lang w:val="el-GR"/>
        </w:rPr>
      </w:pPr>
      <w:r>
        <w:rPr>
          <w:rFonts w:ascii="Ping LCG Regular" w:hAnsi="Ping LCG Regular" w:cs="Arial"/>
          <w:spacing w:val="-14"/>
          <w:sz w:val="22"/>
          <w:szCs w:val="22"/>
          <w:lang w:val="el-GR"/>
        </w:rPr>
        <w:t xml:space="preserve">Το </w:t>
      </w:r>
      <w:r>
        <w:rPr>
          <w:rFonts w:ascii="Ping LCG Regular" w:hAnsi="Ping LCG Regular" w:cs="Arial"/>
          <w:spacing w:val="-14"/>
          <w:sz w:val="22"/>
          <w:szCs w:val="22"/>
        </w:rPr>
        <w:t>EBITDA</w:t>
      </w:r>
      <w:r w:rsidRPr="00140E8D">
        <w:rPr>
          <w:rFonts w:ascii="Ping LCG Regular" w:hAnsi="Ping LCG Regular" w:cs="Arial"/>
          <w:spacing w:val="-14"/>
          <w:sz w:val="22"/>
          <w:szCs w:val="22"/>
          <w:lang w:val="el-GR"/>
        </w:rPr>
        <w:t xml:space="preserve"> </w:t>
      </w:r>
      <w:r w:rsidR="00B06048" w:rsidRPr="00821F3C">
        <w:rPr>
          <w:rFonts w:ascii="Ping LCG Regular" w:hAnsi="Ping LCG Regular" w:cs="Arial"/>
          <w:spacing w:val="-14"/>
          <w:sz w:val="22"/>
          <w:szCs w:val="22"/>
          <w:lang w:val="el-GR"/>
        </w:rPr>
        <w:t xml:space="preserve">του </w:t>
      </w:r>
      <w:r w:rsidR="00B06048">
        <w:rPr>
          <w:rFonts w:ascii="Ping LCG Regular" w:hAnsi="Ping LCG Regular" w:cs="Arial"/>
          <w:spacing w:val="-14"/>
          <w:sz w:val="22"/>
          <w:szCs w:val="22"/>
          <w:lang w:val="el-GR"/>
        </w:rPr>
        <w:t>εννε</w:t>
      </w:r>
      <w:r w:rsidR="00B06048" w:rsidRPr="00821F3C">
        <w:rPr>
          <w:rFonts w:ascii="Ping LCG Regular" w:hAnsi="Ping LCG Regular" w:cs="Arial"/>
          <w:spacing w:val="-14"/>
          <w:sz w:val="22"/>
          <w:szCs w:val="22"/>
          <w:lang w:val="el-GR"/>
        </w:rPr>
        <w:t>αμήνου</w:t>
      </w:r>
      <w:r w:rsidR="00B0332D">
        <w:rPr>
          <w:rFonts w:ascii="Ping LCG Regular" w:hAnsi="Ping LCG Regular" w:cs="Arial"/>
          <w:spacing w:val="-14"/>
          <w:sz w:val="22"/>
          <w:szCs w:val="22"/>
          <w:lang w:val="el-GR"/>
        </w:rPr>
        <w:t xml:space="preserve"> 2022</w:t>
      </w:r>
      <w:r w:rsidR="00655DC5" w:rsidRPr="00655DC5">
        <w:rPr>
          <w:rFonts w:ascii="Ping LCG Regular" w:hAnsi="Ping LCG Regular" w:cs="Arial"/>
          <w:spacing w:val="-14"/>
          <w:sz w:val="22"/>
          <w:szCs w:val="22"/>
          <w:lang w:val="el-GR"/>
        </w:rPr>
        <w:t xml:space="preserve"> επηρεάστηκε αρνητικά από το ποσό έκτακτης εισφοράς που επιβλήθηκε στους παραγωγούς ηλεκτρικής ενέργειας  για την περίοδο Οκτωβρίου 2021 – Ιουνίου 2022 </w:t>
      </w:r>
      <w:r w:rsidR="003B57A1">
        <w:rPr>
          <w:rFonts w:ascii="Ping LCG Regular" w:hAnsi="Ping LCG Regular" w:cs="Arial"/>
          <w:spacing w:val="-14"/>
          <w:sz w:val="22"/>
          <w:szCs w:val="22"/>
          <w:lang w:val="el-GR"/>
        </w:rPr>
        <w:t xml:space="preserve">και καταγράφηκε στο </w:t>
      </w:r>
      <w:r w:rsidR="00BA7691">
        <w:rPr>
          <w:rFonts w:ascii="Ping LCG Regular" w:hAnsi="Ping LCG Regular" w:cs="Arial"/>
          <w:spacing w:val="-14"/>
          <w:sz w:val="22"/>
          <w:szCs w:val="22"/>
          <w:lang w:val="el-GR"/>
        </w:rPr>
        <w:t xml:space="preserve">γ’ τρίμηνο του έτους </w:t>
      </w:r>
      <w:r w:rsidR="00655DC5" w:rsidRPr="00655DC5">
        <w:rPr>
          <w:rFonts w:ascii="Ping LCG Regular" w:hAnsi="Ping LCG Regular" w:cs="Arial"/>
          <w:spacing w:val="-14"/>
          <w:sz w:val="22"/>
          <w:szCs w:val="22"/>
          <w:lang w:val="el-GR"/>
        </w:rPr>
        <w:t>και η οποία για τη ΔΕΗ προσδιορίστηκε σε €276 εκατ.</w:t>
      </w:r>
      <w:r w:rsidR="00B06048" w:rsidRPr="00B06048">
        <w:rPr>
          <w:rFonts w:ascii="Ping LCG Regular" w:hAnsi="Ping LCG Regular" w:cs="Arial"/>
          <w:spacing w:val="-14"/>
          <w:sz w:val="22"/>
          <w:szCs w:val="22"/>
          <w:lang w:val="el-GR"/>
        </w:rPr>
        <w:t xml:space="preserve"> </w:t>
      </w:r>
      <w:r w:rsidR="00027443" w:rsidRPr="00027443">
        <w:rPr>
          <w:rFonts w:ascii="Ping LCG Regular" w:hAnsi="Ping LCG Regular" w:cs="Arial"/>
          <w:spacing w:val="-14"/>
          <w:sz w:val="22"/>
          <w:szCs w:val="22"/>
          <w:lang w:val="el-GR"/>
        </w:rPr>
        <w:t xml:space="preserve">και μετά την τελική εκκαθάριση </w:t>
      </w:r>
      <w:r w:rsidR="00D73E23">
        <w:rPr>
          <w:rFonts w:ascii="Ping LCG Regular" w:hAnsi="Ping LCG Regular" w:cs="Arial"/>
          <w:spacing w:val="-14"/>
          <w:sz w:val="22"/>
          <w:szCs w:val="22"/>
          <w:lang w:val="el-GR"/>
        </w:rPr>
        <w:t>το δ’</w:t>
      </w:r>
      <w:r w:rsidR="006D172E">
        <w:rPr>
          <w:rFonts w:ascii="Ping LCG Regular" w:hAnsi="Ping LCG Regular" w:cs="Arial"/>
          <w:spacing w:val="-14"/>
          <w:sz w:val="22"/>
          <w:szCs w:val="22"/>
          <w:lang w:val="el-GR"/>
        </w:rPr>
        <w:t xml:space="preserve"> τρίμηνο του 2022</w:t>
      </w:r>
      <w:r w:rsidR="004802AF">
        <w:rPr>
          <w:rFonts w:ascii="Ping LCG Regular" w:hAnsi="Ping LCG Regular" w:cs="Arial"/>
          <w:spacing w:val="-14"/>
          <w:sz w:val="22"/>
          <w:szCs w:val="22"/>
          <w:lang w:val="el-GR"/>
        </w:rPr>
        <w:t>,</w:t>
      </w:r>
      <w:r w:rsidR="006D172E">
        <w:rPr>
          <w:rFonts w:ascii="Ping LCG Regular" w:hAnsi="Ping LCG Regular" w:cs="Arial"/>
          <w:spacing w:val="-14"/>
          <w:sz w:val="22"/>
          <w:szCs w:val="22"/>
          <w:lang w:val="el-GR"/>
        </w:rPr>
        <w:t xml:space="preserve"> </w:t>
      </w:r>
      <w:r w:rsidR="00027443" w:rsidRPr="00027443">
        <w:rPr>
          <w:rFonts w:ascii="Ping LCG Regular" w:hAnsi="Ping LCG Regular" w:cs="Arial"/>
          <w:spacing w:val="-14"/>
          <w:sz w:val="22"/>
          <w:szCs w:val="22"/>
          <w:lang w:val="el-GR"/>
        </w:rPr>
        <w:t>μειώθηκε σε €245,3 εκατ.</w:t>
      </w:r>
    </w:p>
    <w:p w14:paraId="107C6E85" w14:textId="77777777" w:rsidR="00AB794F" w:rsidRPr="00C574ED" w:rsidRDefault="00AB794F" w:rsidP="0025244D">
      <w:pPr>
        <w:widowControl w:val="0"/>
        <w:autoSpaceDE w:val="0"/>
        <w:autoSpaceDN w:val="0"/>
        <w:adjustRightInd w:val="0"/>
        <w:ind w:right="20"/>
        <w:jc w:val="both"/>
        <w:rPr>
          <w:rFonts w:ascii="Ping LCG Regular" w:hAnsi="Ping LCG Regular" w:cs="Arial"/>
          <w:b/>
          <w:spacing w:val="-14"/>
          <w:sz w:val="22"/>
          <w:szCs w:val="22"/>
          <w:lang w:val="el-GR"/>
        </w:rPr>
      </w:pPr>
    </w:p>
    <w:p w14:paraId="5D7865BB" w14:textId="77777777" w:rsidR="00A33C79" w:rsidRPr="00622D78" w:rsidRDefault="00A33C79" w:rsidP="0025244D">
      <w:pPr>
        <w:widowControl w:val="0"/>
        <w:autoSpaceDE w:val="0"/>
        <w:autoSpaceDN w:val="0"/>
        <w:adjustRightInd w:val="0"/>
        <w:ind w:right="20"/>
        <w:jc w:val="both"/>
        <w:rPr>
          <w:rFonts w:ascii="Ping LCG Regular" w:hAnsi="Ping LCG Regular" w:cs="Arial"/>
          <w:b/>
          <w:spacing w:val="-14"/>
          <w:sz w:val="22"/>
          <w:szCs w:val="22"/>
          <w:lang w:val="el-GR"/>
        </w:rPr>
      </w:pPr>
      <w:bookmarkStart w:id="7" w:name="_Hlk81171663"/>
      <w:r w:rsidRPr="00622D78">
        <w:rPr>
          <w:rFonts w:ascii="Ping LCG Regular" w:hAnsi="Ping LCG Regular" w:cs="Arial"/>
          <w:b/>
          <w:spacing w:val="-14"/>
          <w:sz w:val="22"/>
          <w:szCs w:val="22"/>
          <w:lang w:val="el-GR"/>
        </w:rPr>
        <w:t>Επενδύσεις</w:t>
      </w:r>
    </w:p>
    <w:p w14:paraId="6EE3AD6A" w14:textId="77777777" w:rsidR="00A33C79" w:rsidRPr="00622D78" w:rsidRDefault="00A33C79" w:rsidP="0025244D">
      <w:pPr>
        <w:widowControl w:val="0"/>
        <w:autoSpaceDE w:val="0"/>
        <w:autoSpaceDN w:val="0"/>
        <w:adjustRightInd w:val="0"/>
        <w:ind w:right="18"/>
        <w:jc w:val="both"/>
        <w:rPr>
          <w:rFonts w:ascii="Ping LCG Regular" w:hAnsi="Ping LCG Regular" w:cs="Arial"/>
          <w:spacing w:val="-14"/>
          <w:sz w:val="22"/>
          <w:szCs w:val="22"/>
          <w:lang w:val="el-GR"/>
        </w:rPr>
      </w:pPr>
    </w:p>
    <w:p w14:paraId="2F80AB27" w14:textId="77830DBB" w:rsidR="00A33C79" w:rsidRPr="00622D78" w:rsidRDefault="00A33C79" w:rsidP="0025244D">
      <w:pPr>
        <w:widowControl w:val="0"/>
        <w:autoSpaceDE w:val="0"/>
        <w:autoSpaceDN w:val="0"/>
        <w:adjustRightInd w:val="0"/>
        <w:ind w:right="18"/>
        <w:jc w:val="both"/>
        <w:rPr>
          <w:rFonts w:ascii="Ping LCG Regular" w:hAnsi="Ping LCG Regular" w:cs="Arial"/>
          <w:spacing w:val="-14"/>
          <w:sz w:val="22"/>
          <w:szCs w:val="22"/>
          <w:lang w:val="el-GR"/>
        </w:rPr>
      </w:pPr>
      <w:r w:rsidRPr="00622D78">
        <w:rPr>
          <w:rFonts w:ascii="Ping LCG Regular" w:hAnsi="Ping LCG Regular" w:cs="Arial"/>
          <w:spacing w:val="-14"/>
          <w:sz w:val="22"/>
          <w:szCs w:val="22"/>
          <w:lang w:val="el-GR"/>
        </w:rPr>
        <w:t xml:space="preserve">Οι συνολικές επενδύσεις το </w:t>
      </w:r>
      <w:r w:rsidR="006E7244">
        <w:rPr>
          <w:rFonts w:ascii="Ping LCG Regular" w:hAnsi="Ping LCG Regular" w:cs="Arial"/>
          <w:spacing w:val="-14"/>
          <w:sz w:val="22"/>
          <w:szCs w:val="22"/>
          <w:lang w:val="el-GR"/>
        </w:rPr>
        <w:t>εννε</w:t>
      </w:r>
      <w:r w:rsidR="00837981" w:rsidRPr="00622D78">
        <w:rPr>
          <w:rFonts w:ascii="Ping LCG Regular" w:hAnsi="Ping LCG Regular" w:cs="Arial"/>
          <w:spacing w:val="-14"/>
          <w:sz w:val="22"/>
          <w:szCs w:val="22"/>
          <w:lang w:val="el-GR"/>
        </w:rPr>
        <w:t>ά</w:t>
      </w:r>
      <w:r w:rsidR="00681652" w:rsidRPr="00622D78">
        <w:rPr>
          <w:rFonts w:ascii="Ping LCG Regular" w:hAnsi="Ping LCG Regular" w:cs="Arial"/>
          <w:spacing w:val="-14"/>
          <w:sz w:val="22"/>
          <w:szCs w:val="22"/>
          <w:lang w:val="el-GR"/>
        </w:rPr>
        <w:t xml:space="preserve">μηνο 2023 </w:t>
      </w:r>
      <w:r w:rsidRPr="00622D78">
        <w:rPr>
          <w:rFonts w:ascii="Ping LCG Regular" w:hAnsi="Ping LCG Regular" w:cs="Arial"/>
          <w:spacing w:val="-14"/>
          <w:sz w:val="22"/>
          <w:szCs w:val="22"/>
          <w:lang w:val="el-GR"/>
        </w:rPr>
        <w:t>διαμορφώθηκαν σε €</w:t>
      </w:r>
      <w:r w:rsidR="006C6656">
        <w:rPr>
          <w:rFonts w:ascii="Ping LCG Regular" w:hAnsi="Ping LCG Regular" w:cs="Arial"/>
          <w:spacing w:val="-14"/>
          <w:sz w:val="22"/>
          <w:szCs w:val="22"/>
          <w:lang w:val="el-GR"/>
        </w:rPr>
        <w:t>774,8</w:t>
      </w:r>
      <w:r w:rsidRPr="00622D78">
        <w:rPr>
          <w:rFonts w:ascii="Ping LCG Regular" w:hAnsi="Ping LCG Regular" w:cs="Arial"/>
          <w:spacing w:val="-14"/>
          <w:sz w:val="22"/>
          <w:szCs w:val="22"/>
          <w:lang w:val="el-GR"/>
        </w:rPr>
        <w:t xml:space="preserve"> εκατ. έναντι €</w:t>
      </w:r>
      <w:r w:rsidR="006C6656">
        <w:rPr>
          <w:rFonts w:ascii="Ping LCG Regular" w:hAnsi="Ping LCG Regular" w:cs="Arial"/>
          <w:spacing w:val="-14"/>
          <w:sz w:val="22"/>
          <w:szCs w:val="22"/>
          <w:lang w:val="el-GR"/>
        </w:rPr>
        <w:t>427</w:t>
      </w:r>
      <w:r w:rsidR="00517A98" w:rsidRPr="00622D78">
        <w:rPr>
          <w:rFonts w:ascii="Ping LCG Regular" w:hAnsi="Ping LCG Regular" w:cs="Arial"/>
          <w:spacing w:val="-14"/>
          <w:sz w:val="22"/>
          <w:szCs w:val="22"/>
          <w:lang w:val="el-GR"/>
        </w:rPr>
        <w:t xml:space="preserve"> </w:t>
      </w:r>
      <w:r w:rsidRPr="00622D78">
        <w:rPr>
          <w:rFonts w:ascii="Ping LCG Regular" w:hAnsi="Ping LCG Regular" w:cs="Arial"/>
          <w:spacing w:val="-14"/>
          <w:sz w:val="22"/>
          <w:szCs w:val="22"/>
          <w:lang w:val="el-GR"/>
        </w:rPr>
        <w:t xml:space="preserve">εκατ. το </w:t>
      </w:r>
      <w:r w:rsidR="006C6656">
        <w:rPr>
          <w:rFonts w:ascii="Ping LCG Regular" w:hAnsi="Ping LCG Regular" w:cs="Arial"/>
          <w:spacing w:val="-14"/>
          <w:sz w:val="22"/>
          <w:szCs w:val="22"/>
          <w:lang w:val="el-GR"/>
        </w:rPr>
        <w:t>εννε</w:t>
      </w:r>
      <w:r w:rsidR="00517A98" w:rsidRPr="00622D78">
        <w:rPr>
          <w:rFonts w:ascii="Ping LCG Regular" w:hAnsi="Ping LCG Regular" w:cs="Arial"/>
          <w:spacing w:val="-14"/>
          <w:sz w:val="22"/>
          <w:szCs w:val="22"/>
          <w:lang w:val="el-GR"/>
        </w:rPr>
        <w:t>ά</w:t>
      </w:r>
      <w:r w:rsidR="00D50531" w:rsidRPr="00622D78">
        <w:rPr>
          <w:rFonts w:ascii="Ping LCG Regular" w:hAnsi="Ping LCG Regular" w:cs="Arial"/>
          <w:spacing w:val="-14"/>
          <w:sz w:val="22"/>
          <w:szCs w:val="22"/>
          <w:lang w:val="el-GR"/>
        </w:rPr>
        <w:t xml:space="preserve">μηνο </w:t>
      </w:r>
      <w:r w:rsidRPr="00622D78">
        <w:rPr>
          <w:rFonts w:ascii="Ping LCG Regular" w:hAnsi="Ping LCG Regular" w:cs="Arial"/>
          <w:spacing w:val="-14"/>
          <w:sz w:val="22"/>
          <w:szCs w:val="22"/>
          <w:lang w:val="el-GR"/>
        </w:rPr>
        <w:t>202</w:t>
      </w:r>
      <w:r w:rsidR="00D50531" w:rsidRPr="00622D78">
        <w:rPr>
          <w:rFonts w:ascii="Ping LCG Regular" w:hAnsi="Ping LCG Regular" w:cs="Arial"/>
          <w:spacing w:val="-14"/>
          <w:sz w:val="22"/>
          <w:szCs w:val="22"/>
          <w:lang w:val="el-GR"/>
        </w:rPr>
        <w:t>2</w:t>
      </w:r>
      <w:r w:rsidRPr="00622D78">
        <w:rPr>
          <w:rFonts w:ascii="Ping LCG Regular" w:hAnsi="Ping LCG Regular" w:cs="Arial"/>
          <w:spacing w:val="-14"/>
          <w:sz w:val="22"/>
          <w:szCs w:val="22"/>
          <w:lang w:val="el-GR"/>
        </w:rPr>
        <w:t xml:space="preserve">. </w:t>
      </w:r>
    </w:p>
    <w:p w14:paraId="7632C384" w14:textId="6D13FC18" w:rsidR="00A33C79" w:rsidRPr="00622D78" w:rsidRDefault="00A33C79" w:rsidP="0025244D">
      <w:pPr>
        <w:widowControl w:val="0"/>
        <w:autoSpaceDE w:val="0"/>
        <w:autoSpaceDN w:val="0"/>
        <w:adjustRightInd w:val="0"/>
        <w:ind w:right="18"/>
        <w:jc w:val="both"/>
        <w:rPr>
          <w:rFonts w:ascii="Ping LCG Regular" w:hAnsi="Ping LCG Regular" w:cs="Arial"/>
          <w:spacing w:val="-14"/>
          <w:sz w:val="22"/>
          <w:szCs w:val="22"/>
          <w:lang w:val="el-GR"/>
        </w:rPr>
      </w:pPr>
      <w:r w:rsidRPr="00754944">
        <w:rPr>
          <w:rFonts w:ascii="Ping LCG Regular" w:hAnsi="Ping LCG Regular" w:cs="Arial"/>
          <w:spacing w:val="-14"/>
          <w:sz w:val="22"/>
          <w:szCs w:val="22"/>
          <w:lang w:val="el-GR"/>
        </w:rPr>
        <w:t>Όπως φαίνεται και στον παρακάτω πίνακα, μεγάλο μέρος της αύξησης οφείλεται στις αυξημένες επενδύσεις σε έργα για το Δίκτυο Διανομής, ΑΠΕ</w:t>
      </w:r>
      <w:r w:rsidR="00C242DB" w:rsidRPr="00754944">
        <w:rPr>
          <w:rFonts w:ascii="Ping LCG Regular" w:hAnsi="Ping LCG Regular" w:cs="Arial"/>
          <w:spacing w:val="-14"/>
          <w:sz w:val="22"/>
          <w:szCs w:val="22"/>
          <w:lang w:val="el-GR"/>
        </w:rPr>
        <w:t xml:space="preserve"> </w:t>
      </w:r>
      <w:r w:rsidR="003F6066" w:rsidRPr="00754944">
        <w:rPr>
          <w:rFonts w:ascii="Ping LCG Regular" w:hAnsi="Ping LCG Regular" w:cs="Arial"/>
          <w:spacing w:val="-14"/>
          <w:sz w:val="22"/>
          <w:szCs w:val="22"/>
          <w:lang w:val="el-GR"/>
        </w:rPr>
        <w:t xml:space="preserve">καθώς και στη νέα μονάδα Φυσικού Αερίου  </w:t>
      </w:r>
      <w:r w:rsidR="004D3CD0" w:rsidRPr="00754944">
        <w:rPr>
          <w:rFonts w:ascii="Ping LCG Regular" w:hAnsi="Ping LCG Regular" w:cs="Arial"/>
          <w:spacing w:val="-14"/>
          <w:sz w:val="22"/>
          <w:szCs w:val="22"/>
          <w:lang w:val="el-GR"/>
        </w:rPr>
        <w:t>840</w:t>
      </w:r>
      <w:r w:rsidR="003F6066" w:rsidRPr="00754944">
        <w:rPr>
          <w:rFonts w:ascii="Ping LCG Regular" w:hAnsi="Ping LCG Regular" w:cs="Arial"/>
          <w:spacing w:val="-14"/>
          <w:sz w:val="22"/>
          <w:szCs w:val="22"/>
          <w:lang w:val="el-GR"/>
        </w:rPr>
        <w:t xml:space="preserve"> </w:t>
      </w:r>
      <w:r w:rsidR="003F6066" w:rsidRPr="00754944">
        <w:rPr>
          <w:rFonts w:ascii="Ping LCG Regular" w:hAnsi="Ping LCG Regular" w:cs="Arial"/>
          <w:spacing w:val="-14"/>
          <w:sz w:val="22"/>
          <w:szCs w:val="22"/>
        </w:rPr>
        <w:t>MW</w:t>
      </w:r>
      <w:r w:rsidR="003F6066" w:rsidRPr="00754944">
        <w:rPr>
          <w:rFonts w:ascii="Ping LCG Regular" w:hAnsi="Ping LCG Regular" w:cs="Arial"/>
          <w:spacing w:val="-14"/>
          <w:sz w:val="22"/>
          <w:szCs w:val="22"/>
          <w:lang w:val="el-GR"/>
        </w:rPr>
        <w:t xml:space="preserve"> στην Αλεξανδρούπολη.</w:t>
      </w:r>
    </w:p>
    <w:p w14:paraId="56E75F90" w14:textId="77777777" w:rsidR="004D3CD0" w:rsidRPr="00622D78" w:rsidRDefault="004D3CD0" w:rsidP="0025244D">
      <w:pPr>
        <w:widowControl w:val="0"/>
        <w:autoSpaceDE w:val="0"/>
        <w:autoSpaceDN w:val="0"/>
        <w:adjustRightInd w:val="0"/>
        <w:ind w:right="18"/>
        <w:jc w:val="both"/>
        <w:rPr>
          <w:rFonts w:ascii="Ping LCG Regular" w:hAnsi="Ping LCG Regular" w:cs="Arial"/>
          <w:spacing w:val="-14"/>
          <w:sz w:val="22"/>
          <w:szCs w:val="22"/>
          <w:lang w:val="el-GR"/>
        </w:rPr>
      </w:pPr>
    </w:p>
    <w:p w14:paraId="1483A2AE" w14:textId="77777777" w:rsidR="00A33C79" w:rsidRPr="00A86657" w:rsidRDefault="00A33C79" w:rsidP="0025244D">
      <w:pPr>
        <w:autoSpaceDE w:val="0"/>
        <w:autoSpaceDN w:val="0"/>
        <w:ind w:right="18"/>
        <w:jc w:val="both"/>
        <w:rPr>
          <w:rFonts w:ascii="Ping LCG Regular" w:hAnsi="Ping LCG Regular" w:cs="Arial"/>
          <w:spacing w:val="-14"/>
          <w:sz w:val="22"/>
          <w:szCs w:val="22"/>
          <w:lang w:val="el-GR"/>
        </w:rPr>
      </w:pPr>
      <w:bookmarkStart w:id="8" w:name="_Hlk68249913"/>
      <w:r w:rsidRPr="00A86657">
        <w:rPr>
          <w:rFonts w:ascii="Ping LCG Regular" w:hAnsi="Ping LCG Regular" w:cs="Arial"/>
          <w:spacing w:val="-14"/>
          <w:sz w:val="22"/>
          <w:szCs w:val="22"/>
          <w:lang w:val="el-GR"/>
        </w:rPr>
        <w:t>Η σύνθεση των κύριων επενδύσεων έχει ως εξής :</w:t>
      </w:r>
    </w:p>
    <w:p w14:paraId="63783BE1" w14:textId="1DCBACA8" w:rsidR="00A33C79" w:rsidRPr="00A86657" w:rsidRDefault="006F002F" w:rsidP="0025244D">
      <w:pPr>
        <w:autoSpaceDE w:val="0"/>
        <w:autoSpaceDN w:val="0"/>
        <w:ind w:right="18"/>
        <w:jc w:val="both"/>
        <w:rPr>
          <w:rFonts w:ascii="Ping LCG Regular" w:hAnsi="Ping LCG Regular" w:cs="Arial"/>
          <w:spacing w:val="-14"/>
          <w:sz w:val="22"/>
          <w:szCs w:val="22"/>
          <w:lang w:val="el-GR"/>
        </w:rPr>
      </w:pPr>
      <w:r w:rsidRPr="00A86657">
        <w:rPr>
          <w:rFonts w:ascii="Ping LCG Regular" w:hAnsi="Ping LCG Regular" w:cs="Arial"/>
          <w:spacing w:val="-14"/>
          <w:sz w:val="22"/>
          <w:szCs w:val="22"/>
          <w:lang w:val="el-GR"/>
        </w:rPr>
        <w:t xml:space="preserve"> </w:t>
      </w:r>
    </w:p>
    <w:p w14:paraId="6ACF8B86" w14:textId="03A42F93" w:rsidR="00DA2748" w:rsidRPr="00A86657" w:rsidRDefault="00C21673" w:rsidP="0025244D">
      <w:pPr>
        <w:autoSpaceDE w:val="0"/>
        <w:autoSpaceDN w:val="0"/>
        <w:ind w:right="18"/>
        <w:jc w:val="both"/>
        <w:rPr>
          <w:rFonts w:ascii="Ping LCG Regular" w:hAnsi="Ping LCG Regular" w:cs="Arial"/>
          <w:spacing w:val="-14"/>
          <w:sz w:val="22"/>
          <w:szCs w:val="22"/>
          <w:lang w:val="el-GR"/>
        </w:rPr>
      </w:pPr>
      <w:r w:rsidRPr="00C21673">
        <w:rPr>
          <w:rFonts w:ascii="Ping LCG Regular" w:hAnsi="Ping LCG Regular" w:cs="Arial"/>
          <w:spacing w:val="-14"/>
          <w:sz w:val="22"/>
          <w:szCs w:val="22"/>
          <w:lang w:val="el-GR"/>
        </w:rPr>
        <w:t xml:space="preserve"> </w:t>
      </w:r>
      <w:r w:rsidRPr="00C21673">
        <w:rPr>
          <w:noProof/>
          <w:lang w:val="el-GR" w:eastAsia="el-GR"/>
        </w:rPr>
        <w:drawing>
          <wp:inline distT="0" distB="0" distL="0" distR="0" wp14:anchorId="6F3E9FCC" wp14:editId="41F2D041">
            <wp:extent cx="6210935" cy="17284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1728470"/>
                    </a:xfrm>
                    <a:prstGeom prst="rect">
                      <a:avLst/>
                    </a:prstGeom>
                    <a:noFill/>
                    <a:ln>
                      <a:noFill/>
                    </a:ln>
                  </pic:spPr>
                </pic:pic>
              </a:graphicData>
            </a:graphic>
          </wp:inline>
        </w:drawing>
      </w:r>
    </w:p>
    <w:p w14:paraId="43E8BDA5" w14:textId="05BA3C4B" w:rsidR="00DA2748" w:rsidRPr="006322FA" w:rsidRDefault="00DA2748" w:rsidP="0025244D">
      <w:pPr>
        <w:autoSpaceDE w:val="0"/>
        <w:autoSpaceDN w:val="0"/>
        <w:ind w:right="18"/>
        <w:jc w:val="both"/>
        <w:rPr>
          <w:rFonts w:ascii="Ping LCG Regular" w:hAnsi="Ping LCG Regular" w:cs="Arial"/>
          <w:spacing w:val="-14"/>
          <w:sz w:val="22"/>
          <w:szCs w:val="22"/>
          <w:lang w:val="el-GR"/>
        </w:rPr>
      </w:pPr>
    </w:p>
    <w:p w14:paraId="618C44D6" w14:textId="77777777" w:rsidR="00C5484F" w:rsidRDefault="00C5484F" w:rsidP="0025244D">
      <w:pPr>
        <w:jc w:val="both"/>
        <w:rPr>
          <w:rFonts w:ascii="Ping LCG Regular" w:hAnsi="Ping LCG Regular" w:cs="Arial"/>
          <w:b/>
          <w:bCs/>
          <w:spacing w:val="-14"/>
          <w:sz w:val="22"/>
          <w:szCs w:val="22"/>
          <w:lang w:val="el-GR"/>
        </w:rPr>
      </w:pPr>
      <w:bookmarkStart w:id="9" w:name="_Hlk88923084"/>
      <w:bookmarkStart w:id="10" w:name="_Hlk88922774"/>
      <w:bookmarkStart w:id="11" w:name="_Hlk68249947"/>
      <w:bookmarkStart w:id="12" w:name="_Hlk88594727"/>
      <w:bookmarkEnd w:id="8"/>
    </w:p>
    <w:p w14:paraId="0BFEE982" w14:textId="77777777" w:rsidR="00CB062B" w:rsidRDefault="00CB062B" w:rsidP="0025244D">
      <w:pPr>
        <w:jc w:val="both"/>
        <w:rPr>
          <w:rFonts w:ascii="Ping LCG Regular" w:hAnsi="Ping LCG Regular" w:cs="Arial"/>
          <w:b/>
          <w:bCs/>
          <w:spacing w:val="-14"/>
          <w:sz w:val="22"/>
          <w:szCs w:val="22"/>
          <w:lang w:val="el-GR"/>
        </w:rPr>
      </w:pPr>
    </w:p>
    <w:p w14:paraId="32494161" w14:textId="77777777" w:rsidR="00CB062B" w:rsidRPr="00A86657" w:rsidRDefault="00CB062B" w:rsidP="0025244D">
      <w:pPr>
        <w:jc w:val="both"/>
        <w:rPr>
          <w:rFonts w:ascii="Ping LCG Regular" w:hAnsi="Ping LCG Regular" w:cs="Arial"/>
          <w:b/>
          <w:bCs/>
          <w:spacing w:val="-14"/>
          <w:sz w:val="22"/>
          <w:szCs w:val="22"/>
          <w:lang w:val="el-GR"/>
        </w:rPr>
      </w:pPr>
    </w:p>
    <w:p w14:paraId="5761E039" w14:textId="2A001E04" w:rsidR="00A33C79" w:rsidRPr="00A86657" w:rsidRDefault="00A33C79" w:rsidP="0025244D">
      <w:pPr>
        <w:jc w:val="both"/>
        <w:rPr>
          <w:rFonts w:ascii="Ping LCG Regular" w:hAnsi="Ping LCG Regular" w:cs="Arial"/>
          <w:b/>
          <w:bCs/>
          <w:spacing w:val="-14"/>
          <w:sz w:val="22"/>
          <w:szCs w:val="22"/>
          <w:lang w:val="el-GR"/>
        </w:rPr>
      </w:pPr>
      <w:r w:rsidRPr="00A86657">
        <w:rPr>
          <w:rFonts w:ascii="Ping LCG Regular" w:hAnsi="Ping LCG Regular" w:cs="Arial"/>
          <w:b/>
          <w:bCs/>
          <w:spacing w:val="-14"/>
          <w:sz w:val="22"/>
          <w:szCs w:val="22"/>
          <w:lang w:val="el-GR"/>
        </w:rPr>
        <w:t>Καθαρό Χρέος</w:t>
      </w:r>
    </w:p>
    <w:p w14:paraId="60E3D361" w14:textId="77777777" w:rsidR="00A33C79" w:rsidRPr="00A86657" w:rsidRDefault="00A33C79" w:rsidP="0025244D">
      <w:pPr>
        <w:jc w:val="both"/>
        <w:rPr>
          <w:rFonts w:ascii="Ping LCG Regular" w:hAnsi="Ping LCG Regular"/>
          <w:spacing w:val="-14"/>
          <w:sz w:val="22"/>
          <w:szCs w:val="22"/>
          <w:lang w:val="el-GR"/>
        </w:rPr>
      </w:pPr>
      <w:bookmarkStart w:id="13" w:name="_Hlk81172011"/>
    </w:p>
    <w:p w14:paraId="3BAF2126" w14:textId="3C8685C8" w:rsidR="00A33C79" w:rsidRPr="00A86657" w:rsidRDefault="00A33C79" w:rsidP="0025244D">
      <w:pPr>
        <w:jc w:val="both"/>
        <w:rPr>
          <w:rFonts w:ascii="Ping LCG Regular" w:hAnsi="Ping LCG Regular"/>
          <w:spacing w:val="-14"/>
          <w:sz w:val="22"/>
          <w:szCs w:val="22"/>
          <w:lang w:val="el-GR"/>
        </w:rPr>
      </w:pPr>
      <w:r w:rsidRPr="00A86657">
        <w:rPr>
          <w:rFonts w:ascii="Ping LCG Regular" w:hAnsi="Ping LCG Regular"/>
          <w:spacing w:val="-14"/>
          <w:sz w:val="22"/>
          <w:szCs w:val="22"/>
          <w:lang w:val="el-GR"/>
        </w:rPr>
        <w:lastRenderedPageBreak/>
        <w:t>Το καθαρό χρέος στις 3</w:t>
      </w:r>
      <w:r w:rsidR="00C16D8B" w:rsidRPr="00A86657">
        <w:rPr>
          <w:rFonts w:ascii="Ping LCG Regular" w:hAnsi="Ping LCG Regular"/>
          <w:spacing w:val="-14"/>
          <w:sz w:val="22"/>
          <w:szCs w:val="22"/>
          <w:lang w:val="el-GR"/>
        </w:rPr>
        <w:t>0</w:t>
      </w:r>
      <w:r w:rsidRPr="00A86657">
        <w:rPr>
          <w:rFonts w:ascii="Ping LCG Regular" w:hAnsi="Ping LCG Regular"/>
          <w:spacing w:val="-14"/>
          <w:sz w:val="22"/>
          <w:szCs w:val="22"/>
          <w:lang w:val="el-GR"/>
        </w:rPr>
        <w:t>.</w:t>
      </w:r>
      <w:r w:rsidR="004E406D" w:rsidRPr="00A86657">
        <w:rPr>
          <w:rFonts w:ascii="Ping LCG Regular" w:hAnsi="Ping LCG Regular"/>
          <w:spacing w:val="-14"/>
          <w:sz w:val="22"/>
          <w:szCs w:val="22"/>
          <w:lang w:val="el-GR"/>
        </w:rPr>
        <w:t>0</w:t>
      </w:r>
      <w:r w:rsidR="0065638B" w:rsidRPr="00A86657">
        <w:rPr>
          <w:rFonts w:ascii="Ping LCG Regular" w:hAnsi="Ping LCG Regular"/>
          <w:spacing w:val="-14"/>
          <w:sz w:val="22"/>
          <w:szCs w:val="22"/>
          <w:lang w:val="el-GR"/>
        </w:rPr>
        <w:t>9</w:t>
      </w:r>
      <w:r w:rsidRPr="00A86657">
        <w:rPr>
          <w:rFonts w:ascii="Ping LCG Regular" w:hAnsi="Ping LCG Regular"/>
          <w:spacing w:val="-14"/>
          <w:sz w:val="22"/>
          <w:szCs w:val="22"/>
          <w:lang w:val="el-GR"/>
        </w:rPr>
        <w:t>.202</w:t>
      </w:r>
      <w:r w:rsidR="004E406D" w:rsidRPr="00A86657">
        <w:rPr>
          <w:rFonts w:ascii="Ping LCG Regular" w:hAnsi="Ping LCG Regular"/>
          <w:spacing w:val="-14"/>
          <w:sz w:val="22"/>
          <w:szCs w:val="22"/>
          <w:lang w:val="el-GR"/>
        </w:rPr>
        <w:t>3</w:t>
      </w:r>
      <w:r w:rsidRPr="00A86657">
        <w:rPr>
          <w:rFonts w:ascii="Ping LCG Regular" w:hAnsi="Ping LCG Regular"/>
          <w:spacing w:val="-14"/>
          <w:sz w:val="22"/>
          <w:szCs w:val="22"/>
          <w:lang w:val="el-GR"/>
        </w:rPr>
        <w:t xml:space="preserve"> ήταν €</w:t>
      </w:r>
      <w:r w:rsidR="004E406D" w:rsidRPr="00A86657">
        <w:rPr>
          <w:rFonts w:ascii="Ping LCG Regular" w:hAnsi="Ping LCG Regular"/>
          <w:spacing w:val="-14"/>
          <w:sz w:val="22"/>
          <w:szCs w:val="22"/>
          <w:lang w:val="el-GR"/>
        </w:rPr>
        <w:t>2.</w:t>
      </w:r>
      <w:r w:rsidR="00C16D8B" w:rsidRPr="00A86657">
        <w:rPr>
          <w:rFonts w:ascii="Ping LCG Regular" w:hAnsi="Ping LCG Regular"/>
          <w:spacing w:val="-14"/>
          <w:sz w:val="22"/>
          <w:szCs w:val="22"/>
          <w:lang w:val="el-GR"/>
        </w:rPr>
        <w:t>1</w:t>
      </w:r>
      <w:r w:rsidR="00AC154F" w:rsidRPr="00A86657">
        <w:rPr>
          <w:rFonts w:ascii="Ping LCG Regular" w:hAnsi="Ping LCG Regular"/>
          <w:spacing w:val="-14"/>
          <w:sz w:val="22"/>
          <w:szCs w:val="22"/>
          <w:lang w:val="el-GR"/>
        </w:rPr>
        <w:t>87</w:t>
      </w:r>
      <w:r w:rsidR="00A560DC" w:rsidRPr="00A86657">
        <w:rPr>
          <w:rFonts w:ascii="Ping LCG Regular" w:hAnsi="Ping LCG Regular"/>
          <w:spacing w:val="-14"/>
          <w:sz w:val="22"/>
          <w:szCs w:val="22"/>
          <w:lang w:val="el-GR"/>
        </w:rPr>
        <w:t>,7</w:t>
      </w:r>
      <w:r w:rsidRPr="00A86657">
        <w:rPr>
          <w:rFonts w:ascii="Ping LCG Regular" w:hAnsi="Ping LCG Regular"/>
          <w:spacing w:val="-14"/>
          <w:sz w:val="22"/>
          <w:szCs w:val="22"/>
          <w:lang w:val="el-GR"/>
        </w:rPr>
        <w:t xml:space="preserve"> εκατ., </w:t>
      </w:r>
      <w:r w:rsidR="006D03C5" w:rsidRPr="00A86657">
        <w:rPr>
          <w:rFonts w:ascii="Ping LCG Regular" w:hAnsi="Ping LCG Regular"/>
          <w:spacing w:val="-14"/>
          <w:sz w:val="22"/>
          <w:szCs w:val="22"/>
          <w:lang w:val="el-GR"/>
        </w:rPr>
        <w:t xml:space="preserve">αυξημένο </w:t>
      </w:r>
      <w:r w:rsidRPr="00A86657">
        <w:rPr>
          <w:rFonts w:ascii="Ping LCG Regular" w:hAnsi="Ping LCG Regular"/>
          <w:spacing w:val="-14"/>
          <w:sz w:val="22"/>
          <w:szCs w:val="22"/>
          <w:lang w:val="el-GR"/>
        </w:rPr>
        <w:t>κατά €</w:t>
      </w:r>
      <w:r w:rsidR="00892359" w:rsidRPr="00A86657">
        <w:rPr>
          <w:rFonts w:ascii="Ping LCG Regular" w:hAnsi="Ping LCG Regular"/>
          <w:spacing w:val="-14"/>
          <w:sz w:val="22"/>
          <w:szCs w:val="22"/>
          <w:lang w:val="el-GR"/>
        </w:rPr>
        <w:t>7</w:t>
      </w:r>
      <w:r w:rsidR="00A560DC" w:rsidRPr="00A86657">
        <w:rPr>
          <w:rFonts w:ascii="Ping LCG Regular" w:hAnsi="Ping LCG Regular"/>
          <w:spacing w:val="-14"/>
          <w:sz w:val="22"/>
          <w:szCs w:val="22"/>
          <w:lang w:val="el-GR"/>
        </w:rPr>
        <w:t>99,6</w:t>
      </w:r>
      <w:r w:rsidRPr="00A86657">
        <w:rPr>
          <w:rFonts w:ascii="Ping LCG Regular" w:hAnsi="Ping LCG Regular"/>
          <w:spacing w:val="-14"/>
          <w:sz w:val="22"/>
          <w:szCs w:val="22"/>
          <w:lang w:val="el-GR"/>
        </w:rPr>
        <w:t xml:space="preserve"> εκατ. σε σχέση με την 31.12.202</w:t>
      </w:r>
      <w:r w:rsidR="006D03C5" w:rsidRPr="00A86657">
        <w:rPr>
          <w:rFonts w:ascii="Ping LCG Regular" w:hAnsi="Ping LCG Regular"/>
          <w:spacing w:val="-14"/>
          <w:sz w:val="22"/>
          <w:szCs w:val="22"/>
          <w:lang w:val="el-GR"/>
        </w:rPr>
        <w:t>2</w:t>
      </w:r>
      <w:r w:rsidRPr="00A86657">
        <w:rPr>
          <w:rFonts w:ascii="Ping LCG Regular" w:hAnsi="Ping LCG Regular"/>
          <w:spacing w:val="-14"/>
          <w:sz w:val="22"/>
          <w:szCs w:val="22"/>
          <w:lang w:val="el-GR"/>
        </w:rPr>
        <w:t xml:space="preserve"> (€1.</w:t>
      </w:r>
      <w:r w:rsidR="006D03C5" w:rsidRPr="00A86657">
        <w:rPr>
          <w:rFonts w:ascii="Ping LCG Regular" w:hAnsi="Ping LCG Regular"/>
          <w:spacing w:val="-14"/>
          <w:sz w:val="22"/>
          <w:szCs w:val="22"/>
          <w:lang w:val="el-GR"/>
        </w:rPr>
        <w:t>388,1</w:t>
      </w:r>
      <w:r w:rsidRPr="00A86657">
        <w:rPr>
          <w:rFonts w:ascii="Ping LCG Regular" w:hAnsi="Ping LCG Regular"/>
          <w:spacing w:val="-14"/>
          <w:sz w:val="22"/>
          <w:szCs w:val="22"/>
          <w:lang w:val="el-GR"/>
        </w:rPr>
        <w:t xml:space="preserve"> εκατ.), </w:t>
      </w:r>
      <w:r w:rsidR="00FD14D2" w:rsidRPr="006322FA">
        <w:rPr>
          <w:rFonts w:ascii="Ping LCG Regular" w:hAnsi="Ping LCG Regular"/>
          <w:spacing w:val="-14"/>
          <w:sz w:val="22"/>
          <w:szCs w:val="22"/>
          <w:lang w:val="el-GR"/>
        </w:rPr>
        <w:t xml:space="preserve">λόγω της </w:t>
      </w:r>
      <w:r w:rsidRPr="006322FA">
        <w:rPr>
          <w:rFonts w:ascii="Ping LCG Regular" w:hAnsi="Ping LCG Regular"/>
          <w:spacing w:val="-14"/>
          <w:sz w:val="22"/>
          <w:szCs w:val="22"/>
          <w:lang w:val="el-GR"/>
        </w:rPr>
        <w:t>επίπτωση</w:t>
      </w:r>
      <w:r w:rsidR="00FD14D2" w:rsidRPr="006322FA">
        <w:rPr>
          <w:rFonts w:ascii="Ping LCG Regular" w:hAnsi="Ping LCG Regular"/>
          <w:spacing w:val="-14"/>
          <w:sz w:val="22"/>
          <w:szCs w:val="22"/>
          <w:lang w:val="el-GR"/>
        </w:rPr>
        <w:t>ς</w:t>
      </w:r>
      <w:r w:rsidRPr="006322FA">
        <w:rPr>
          <w:rFonts w:ascii="Ping LCG Regular" w:hAnsi="Ping LCG Regular"/>
          <w:spacing w:val="-14"/>
          <w:sz w:val="22"/>
          <w:szCs w:val="22"/>
          <w:lang w:val="el-GR"/>
        </w:rPr>
        <w:t xml:space="preserve"> από το αρνητικό κεφάλαιο κίνησης </w:t>
      </w:r>
      <w:r w:rsidR="00EE6E54" w:rsidRPr="006322FA">
        <w:rPr>
          <w:rFonts w:ascii="Ping LCG Regular" w:hAnsi="Ping LCG Regular"/>
          <w:spacing w:val="-14"/>
          <w:sz w:val="22"/>
          <w:szCs w:val="22"/>
          <w:lang w:val="el-GR"/>
        </w:rPr>
        <w:t xml:space="preserve"> το οποίο κατά βάση επηρεάστηκε</w:t>
      </w:r>
      <w:r w:rsidR="00D67701" w:rsidRPr="006322FA">
        <w:rPr>
          <w:rFonts w:ascii="Ping LCG Regular" w:hAnsi="Ping LCG Regular"/>
          <w:spacing w:val="-14"/>
          <w:sz w:val="22"/>
          <w:szCs w:val="22"/>
          <w:lang w:val="el-GR"/>
        </w:rPr>
        <w:t xml:space="preserve"> από την πληρωμή</w:t>
      </w:r>
      <w:r w:rsidR="00551B14" w:rsidRPr="006322FA">
        <w:rPr>
          <w:rFonts w:ascii="Ping LCG Regular" w:hAnsi="Ping LCG Regular"/>
          <w:spacing w:val="-14"/>
          <w:sz w:val="22"/>
          <w:szCs w:val="22"/>
          <w:lang w:val="el-GR"/>
        </w:rPr>
        <w:t xml:space="preserve"> για τα δικαιώματα εκπομπών </w:t>
      </w:r>
      <w:r w:rsidR="00551B14" w:rsidRPr="006322FA">
        <w:rPr>
          <w:rFonts w:ascii="Ping LCG Regular" w:hAnsi="Ping LCG Regular"/>
          <w:spacing w:val="-14"/>
          <w:sz w:val="22"/>
          <w:szCs w:val="22"/>
        </w:rPr>
        <w:t>CO</w:t>
      </w:r>
      <w:r w:rsidR="00551B14" w:rsidRPr="006322FA">
        <w:rPr>
          <w:rFonts w:ascii="Ping LCG Regular" w:hAnsi="Ping LCG Regular"/>
          <w:spacing w:val="-14"/>
          <w:sz w:val="22"/>
          <w:szCs w:val="22"/>
          <w:vertAlign w:val="subscript"/>
          <w:lang w:val="el-GR"/>
        </w:rPr>
        <w:t>2</w:t>
      </w:r>
      <w:r w:rsidR="00551B14" w:rsidRPr="006322FA">
        <w:rPr>
          <w:rFonts w:ascii="Ping LCG Regular" w:hAnsi="Ping LCG Regular"/>
          <w:spacing w:val="-14"/>
          <w:sz w:val="22"/>
          <w:szCs w:val="22"/>
          <w:lang w:val="el-GR"/>
        </w:rPr>
        <w:t xml:space="preserve"> για τη συμμόρφωση του</w:t>
      </w:r>
      <w:r w:rsidR="00D87F74" w:rsidRPr="006322FA">
        <w:rPr>
          <w:rFonts w:ascii="Ping LCG Regular" w:hAnsi="Ping LCG Regular"/>
          <w:spacing w:val="-14"/>
          <w:sz w:val="22"/>
          <w:szCs w:val="22"/>
          <w:lang w:val="el-GR"/>
        </w:rPr>
        <w:t xml:space="preserve"> έτους</w:t>
      </w:r>
      <w:r w:rsidR="00551B14" w:rsidRPr="006322FA">
        <w:rPr>
          <w:rFonts w:ascii="Ping LCG Regular" w:hAnsi="Ping LCG Regular"/>
          <w:spacing w:val="-14"/>
          <w:sz w:val="22"/>
          <w:szCs w:val="22"/>
          <w:lang w:val="el-GR"/>
        </w:rPr>
        <w:t xml:space="preserve"> 2022</w:t>
      </w:r>
      <w:r w:rsidR="00037936" w:rsidRPr="006322FA">
        <w:rPr>
          <w:rFonts w:ascii="Ping LCG Regular" w:hAnsi="Ping LCG Regular"/>
          <w:spacing w:val="-14"/>
          <w:sz w:val="22"/>
          <w:szCs w:val="22"/>
          <w:lang w:val="el-GR"/>
        </w:rPr>
        <w:t>, η οποία γίνεται κάθε χρόνο μέχρι το τέλος Μαρτίου</w:t>
      </w:r>
      <w:r w:rsidR="008D3248" w:rsidRPr="006322FA">
        <w:rPr>
          <w:rFonts w:ascii="Ping LCG Regular" w:hAnsi="Ping LCG Regular"/>
          <w:spacing w:val="-14"/>
          <w:sz w:val="22"/>
          <w:szCs w:val="22"/>
          <w:lang w:val="el-GR"/>
        </w:rPr>
        <w:t xml:space="preserve"> του επόμενου έτους</w:t>
      </w:r>
      <w:r w:rsidRPr="006322FA">
        <w:rPr>
          <w:rFonts w:ascii="Ping LCG Regular" w:hAnsi="Ping LCG Regular"/>
          <w:spacing w:val="-14"/>
          <w:sz w:val="22"/>
          <w:szCs w:val="22"/>
          <w:lang w:val="el-GR"/>
        </w:rPr>
        <w:t>.</w:t>
      </w:r>
      <w:r w:rsidRPr="00A86657">
        <w:rPr>
          <w:rFonts w:ascii="Ping LCG Regular" w:hAnsi="Ping LCG Regular"/>
          <w:spacing w:val="-14"/>
          <w:sz w:val="22"/>
          <w:szCs w:val="22"/>
          <w:lang w:val="el-GR"/>
        </w:rPr>
        <w:t xml:space="preserve">  </w:t>
      </w:r>
      <w:bookmarkEnd w:id="9"/>
      <w:r w:rsidR="00740750" w:rsidRPr="00A86657">
        <w:rPr>
          <w:rFonts w:ascii="Ping LCG Regular" w:hAnsi="Ping LCG Regular"/>
          <w:color w:val="FF0000"/>
          <w:spacing w:val="-14"/>
          <w:sz w:val="22"/>
          <w:szCs w:val="22"/>
          <w:lang w:val="el-GR"/>
        </w:rPr>
        <w:t xml:space="preserve"> </w:t>
      </w:r>
    </w:p>
    <w:p w14:paraId="3D197272" w14:textId="77777777" w:rsidR="00A267EF" w:rsidRPr="00A86657" w:rsidRDefault="00A267EF" w:rsidP="0025244D">
      <w:pPr>
        <w:jc w:val="both"/>
        <w:rPr>
          <w:rFonts w:ascii="Ping LCG Regular" w:hAnsi="Ping LCG Regular" w:cs="Arial"/>
          <w:spacing w:val="-14"/>
          <w:sz w:val="22"/>
          <w:szCs w:val="22"/>
          <w:lang w:val="el-GR"/>
        </w:rPr>
      </w:pPr>
    </w:p>
    <w:p w14:paraId="48977A7B" w14:textId="0C73448C" w:rsidR="00A33C79" w:rsidRPr="00A86657" w:rsidRDefault="00A33C79" w:rsidP="0025244D">
      <w:pPr>
        <w:jc w:val="both"/>
        <w:rPr>
          <w:rFonts w:ascii="Ping LCG Regular" w:hAnsi="Ping LCG Regular" w:cs="Arial"/>
          <w:spacing w:val="-14"/>
          <w:sz w:val="22"/>
          <w:szCs w:val="22"/>
          <w:lang w:val="el-GR"/>
        </w:rPr>
      </w:pPr>
      <w:r w:rsidRPr="00A86657">
        <w:rPr>
          <w:rFonts w:ascii="Ping LCG Regular" w:hAnsi="Ping LCG Regular" w:cs="Arial"/>
          <w:spacing w:val="-14"/>
          <w:sz w:val="22"/>
          <w:szCs w:val="22"/>
          <w:lang w:val="el-GR"/>
        </w:rPr>
        <w:t>Ακολουθεί η εξέλιξη του Καθαρού Χρέους:</w:t>
      </w:r>
    </w:p>
    <w:p w14:paraId="3FC369D7" w14:textId="77777777" w:rsidR="00E81AE8" w:rsidRPr="00A86657" w:rsidRDefault="00E81AE8" w:rsidP="0025244D">
      <w:pPr>
        <w:jc w:val="both"/>
        <w:rPr>
          <w:rFonts w:ascii="Ping LCG Regular" w:hAnsi="Ping LCG Regular" w:cs="Arial"/>
          <w:spacing w:val="-14"/>
          <w:sz w:val="22"/>
          <w:szCs w:val="22"/>
          <w:lang w:val="el-GR"/>
        </w:rPr>
      </w:pPr>
    </w:p>
    <w:bookmarkEnd w:id="10"/>
    <w:bookmarkEnd w:id="13"/>
    <w:p w14:paraId="7642AC0E" w14:textId="4CC1CBEE" w:rsidR="00A33C79" w:rsidRPr="00D0063D" w:rsidRDefault="009D63C2" w:rsidP="0025244D">
      <w:pPr>
        <w:jc w:val="both"/>
        <w:rPr>
          <w:rFonts w:ascii="Ping LCG Regular" w:hAnsi="Ping LCG Regular" w:cs="Arial"/>
          <w:spacing w:val="-14"/>
          <w:sz w:val="22"/>
          <w:szCs w:val="22"/>
          <w:lang w:val="el-GR"/>
        </w:rPr>
      </w:pPr>
      <w:r w:rsidRPr="009D63C2">
        <w:rPr>
          <w:rFonts w:ascii="Ping LCG Regular" w:hAnsi="Ping LCG Regular" w:cs="Arial"/>
          <w:spacing w:val="-14"/>
          <w:sz w:val="22"/>
          <w:szCs w:val="22"/>
          <w:lang w:val="el-GR"/>
        </w:rPr>
        <w:t xml:space="preserve"> </w:t>
      </w:r>
      <w:r w:rsidRPr="009D63C2">
        <w:rPr>
          <w:noProof/>
          <w:lang w:val="el-GR" w:eastAsia="el-GR"/>
        </w:rPr>
        <w:drawing>
          <wp:inline distT="0" distB="0" distL="0" distR="0" wp14:anchorId="25CE90BA" wp14:editId="38D04C28">
            <wp:extent cx="6210935" cy="14941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1494155"/>
                    </a:xfrm>
                    <a:prstGeom prst="rect">
                      <a:avLst/>
                    </a:prstGeom>
                    <a:noFill/>
                    <a:ln>
                      <a:noFill/>
                    </a:ln>
                  </pic:spPr>
                </pic:pic>
              </a:graphicData>
            </a:graphic>
          </wp:inline>
        </w:drawing>
      </w:r>
    </w:p>
    <w:bookmarkEnd w:id="7"/>
    <w:bookmarkEnd w:id="11"/>
    <w:bookmarkEnd w:id="12"/>
    <w:p w14:paraId="76CF7A16" w14:textId="3642768B" w:rsidR="00A33C79" w:rsidRPr="00D0063D" w:rsidRDefault="00462666" w:rsidP="0025244D">
      <w:pPr>
        <w:jc w:val="both"/>
        <w:rPr>
          <w:rFonts w:ascii="Ping LCG Regular" w:hAnsi="Ping LCG Regular" w:cs="Arial"/>
          <w:spacing w:val="-14"/>
          <w:sz w:val="22"/>
          <w:szCs w:val="22"/>
          <w:lang w:val="el-GR"/>
        </w:rPr>
      </w:pPr>
      <w:r w:rsidRPr="00D0063D">
        <w:rPr>
          <w:rFonts w:ascii="Ping LCG Regular" w:hAnsi="Ping LCG Regular" w:cs="Arial"/>
          <w:spacing w:val="-14"/>
          <w:sz w:val="22"/>
          <w:szCs w:val="22"/>
          <w:lang w:val="el-GR"/>
        </w:rPr>
        <w:t xml:space="preserve"> </w:t>
      </w:r>
      <w:r w:rsidR="006F002F" w:rsidRPr="00D0063D">
        <w:rPr>
          <w:rFonts w:ascii="Ping LCG Regular" w:hAnsi="Ping LCG Regular" w:cs="Arial"/>
          <w:spacing w:val="-14"/>
          <w:sz w:val="22"/>
          <w:szCs w:val="22"/>
          <w:lang w:val="el-GR"/>
        </w:rPr>
        <w:t xml:space="preserve"> </w:t>
      </w:r>
      <w:r w:rsidR="00A33C79" w:rsidRPr="00D0063D">
        <w:rPr>
          <w:rFonts w:ascii="Ping LCG Regular" w:hAnsi="Ping LCG Regular" w:cs="Arial"/>
          <w:spacing w:val="-14"/>
          <w:sz w:val="22"/>
          <w:szCs w:val="22"/>
          <w:lang w:val="el-GR"/>
        </w:rPr>
        <w:t xml:space="preserve"> </w:t>
      </w:r>
    </w:p>
    <w:p w14:paraId="108B9881" w14:textId="77777777" w:rsidR="00A33C79" w:rsidRPr="00D0063D" w:rsidRDefault="00A33C79" w:rsidP="0025244D">
      <w:pPr>
        <w:jc w:val="both"/>
        <w:rPr>
          <w:rFonts w:ascii="Ping LCG Regular" w:hAnsi="Ping LCG Regular" w:cs="Arial"/>
          <w:spacing w:val="-14"/>
          <w:sz w:val="22"/>
          <w:szCs w:val="22"/>
          <w:lang w:val="el-GR"/>
        </w:rPr>
      </w:pPr>
    </w:p>
    <w:p w14:paraId="56663FBD" w14:textId="12F58221" w:rsidR="00A33C79" w:rsidRPr="00D0063D" w:rsidRDefault="00A33C79" w:rsidP="0025244D">
      <w:pPr>
        <w:widowControl w:val="0"/>
        <w:autoSpaceDE w:val="0"/>
        <w:autoSpaceDN w:val="0"/>
        <w:adjustRightInd w:val="0"/>
        <w:ind w:left="284" w:right="18" w:hanging="284"/>
        <w:jc w:val="both"/>
        <w:rPr>
          <w:rFonts w:ascii="Ping LCG Regular" w:hAnsi="Ping LCG Regular" w:cs="Arial"/>
          <w:iCs/>
          <w:color w:val="FF0000"/>
          <w:spacing w:val="-14"/>
          <w:sz w:val="22"/>
          <w:lang w:val="el-GR"/>
        </w:rPr>
      </w:pPr>
    </w:p>
    <w:p w14:paraId="2BA81C50" w14:textId="06FADC0E" w:rsidR="0067593D" w:rsidRPr="00D0063D" w:rsidRDefault="0067593D" w:rsidP="0025244D">
      <w:pPr>
        <w:jc w:val="both"/>
        <w:rPr>
          <w:rFonts w:ascii="Ping LCG Regular" w:hAnsi="Ping LCG Regular" w:cs="Arial"/>
          <w:iCs/>
          <w:spacing w:val="-14"/>
          <w:sz w:val="22"/>
          <w:lang w:val="el-GR"/>
        </w:rPr>
      </w:pPr>
      <w:r w:rsidRPr="00D0063D">
        <w:rPr>
          <w:rFonts w:ascii="Ping LCG Regular" w:hAnsi="Ping LCG Regular" w:cs="Arial"/>
          <w:iCs/>
          <w:spacing w:val="-14"/>
          <w:sz w:val="22"/>
          <w:lang w:val="el-GR"/>
        </w:rPr>
        <w:br w:type="page"/>
      </w:r>
    </w:p>
    <w:p w14:paraId="29334026" w14:textId="5C3CEB0D" w:rsidR="00454FD8" w:rsidRPr="00FD35CF" w:rsidRDefault="00454FD8" w:rsidP="0025244D">
      <w:pPr>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lastRenderedPageBreak/>
        <w:t>Για περισσότερες πληροφορίες παρακαλούμε απευθυνθείτε στη Διεύθυνση Επενδυτικών Σχέσεων (</w:t>
      </w:r>
      <w:r w:rsidRPr="00FD35CF">
        <w:rPr>
          <w:rFonts w:ascii="Ping LCG Regular" w:hAnsi="Ping LCG Regular" w:cs="Arial"/>
          <w:spacing w:val="-14"/>
          <w:sz w:val="22"/>
          <w:szCs w:val="22"/>
        </w:rPr>
        <w:t>ir</w:t>
      </w:r>
      <w:r w:rsidRPr="00FD35CF">
        <w:rPr>
          <w:rFonts w:ascii="Ping LCG Regular" w:hAnsi="Ping LCG Regular" w:cs="Arial"/>
          <w:spacing w:val="-14"/>
          <w:sz w:val="22"/>
          <w:szCs w:val="22"/>
          <w:lang w:val="el-GR"/>
        </w:rPr>
        <w:t>@</w:t>
      </w:r>
      <w:r w:rsidRPr="00FD35CF">
        <w:rPr>
          <w:rFonts w:ascii="Ping LCG Regular" w:hAnsi="Ping LCG Regular" w:cs="Arial"/>
          <w:spacing w:val="-14"/>
          <w:sz w:val="22"/>
          <w:szCs w:val="22"/>
        </w:rPr>
        <w:t>dei</w:t>
      </w:r>
      <w:r w:rsidRPr="00FD35CF">
        <w:rPr>
          <w:rFonts w:ascii="Ping LCG Regular" w:hAnsi="Ping LCG Regular" w:cs="Arial"/>
          <w:spacing w:val="-14"/>
          <w:sz w:val="22"/>
          <w:szCs w:val="22"/>
          <w:lang w:val="el-GR"/>
        </w:rPr>
        <w:t>.</w:t>
      </w:r>
      <w:r w:rsidRPr="00FD35CF">
        <w:rPr>
          <w:rFonts w:ascii="Ping LCG Regular" w:hAnsi="Ping LCG Regular" w:cs="Arial"/>
          <w:spacing w:val="-14"/>
          <w:sz w:val="22"/>
          <w:szCs w:val="22"/>
        </w:rPr>
        <w:t>gr</w:t>
      </w:r>
      <w:r w:rsidRPr="00FD35CF">
        <w:rPr>
          <w:rFonts w:ascii="Ping LCG Regular" w:hAnsi="Ping LCG Regular" w:cs="Arial"/>
          <w:spacing w:val="-14"/>
          <w:sz w:val="22"/>
          <w:szCs w:val="22"/>
          <w:lang w:val="el-GR"/>
        </w:rPr>
        <w:t>):</w:t>
      </w:r>
    </w:p>
    <w:p w14:paraId="2E30B34B" w14:textId="77777777" w:rsidR="00454FD8" w:rsidRPr="00FD35CF" w:rsidRDefault="00454FD8" w:rsidP="0025244D">
      <w:pPr>
        <w:pStyle w:val="ListParagraph"/>
        <w:numPr>
          <w:ilvl w:val="0"/>
          <w:numId w:val="17"/>
        </w:numPr>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 xml:space="preserve">κ. Ιωάννη Στέφο, Διευθυντή Επενδυτικών Σχέσεων, </w:t>
      </w:r>
    </w:p>
    <w:p w14:paraId="1D5B14A6" w14:textId="164320EE" w:rsidR="00454FD8" w:rsidRPr="00FD35CF" w:rsidRDefault="000E26A3" w:rsidP="0025244D">
      <w:pPr>
        <w:pStyle w:val="ListParagraph"/>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ab/>
      </w:r>
      <w:r w:rsidR="00454FD8" w:rsidRPr="00FD35CF">
        <w:rPr>
          <w:rFonts w:ascii="Ping LCG Regular" w:hAnsi="Ping LCG Regular" w:cs="Arial"/>
          <w:spacing w:val="-14"/>
          <w:sz w:val="22"/>
          <w:szCs w:val="22"/>
        </w:rPr>
        <w:t>τηλ</w:t>
      </w:r>
      <w:r w:rsidR="00454FD8" w:rsidRPr="00FD35CF">
        <w:rPr>
          <w:rFonts w:ascii="Ping LCG Regular" w:hAnsi="Ping LCG Regular" w:cs="Arial"/>
          <w:spacing w:val="-14"/>
          <w:sz w:val="22"/>
          <w:szCs w:val="22"/>
          <w:lang w:val="en-US"/>
        </w:rPr>
        <w:t xml:space="preserve">. 210 5292153, e-mail: </w:t>
      </w:r>
      <w:hyperlink r:id="rId16" w:history="1">
        <w:r w:rsidR="000B35BF" w:rsidRPr="00726445">
          <w:rPr>
            <w:rStyle w:val="Hyperlink"/>
            <w:rFonts w:ascii="Ping LCG Regular" w:hAnsi="Ping LCG Regular" w:cs="Arial"/>
            <w:spacing w:val="-14"/>
            <w:sz w:val="22"/>
            <w:szCs w:val="22"/>
            <w:lang w:val="en-US"/>
          </w:rPr>
          <w:t>i.stefos@dei.gr</w:t>
        </w:r>
      </w:hyperlink>
      <w:r w:rsidR="000B35BF">
        <w:rPr>
          <w:rFonts w:ascii="Ping LCG Regular" w:hAnsi="Ping LCG Regular" w:cs="Arial"/>
          <w:spacing w:val="-14"/>
          <w:sz w:val="22"/>
          <w:szCs w:val="22"/>
        </w:rPr>
        <w:t xml:space="preserve"> </w:t>
      </w:r>
      <w:r w:rsidR="00454FD8" w:rsidRPr="00FD35CF">
        <w:rPr>
          <w:rFonts w:ascii="Ping LCG Regular" w:hAnsi="Ping LCG Regular" w:cs="Arial"/>
          <w:spacing w:val="-14"/>
          <w:sz w:val="22"/>
          <w:szCs w:val="22"/>
          <w:lang w:val="en-US"/>
        </w:rPr>
        <w:t xml:space="preserve">, </w:t>
      </w:r>
      <w:r w:rsidR="00454FD8" w:rsidRPr="00FD35CF">
        <w:rPr>
          <w:rFonts w:ascii="Ping LCG Regular" w:hAnsi="Ping LCG Regular" w:cs="Arial"/>
          <w:spacing w:val="-14"/>
          <w:sz w:val="22"/>
          <w:szCs w:val="22"/>
        </w:rPr>
        <w:t xml:space="preserve"> και</w:t>
      </w:r>
    </w:p>
    <w:p w14:paraId="4A33D3F5" w14:textId="77777777" w:rsidR="00454FD8" w:rsidRPr="00FD35CF" w:rsidRDefault="00454FD8" w:rsidP="0025244D">
      <w:pPr>
        <w:pStyle w:val="ListParagraph"/>
        <w:numPr>
          <w:ilvl w:val="0"/>
          <w:numId w:val="17"/>
        </w:numPr>
        <w:autoSpaceDE w:val="0"/>
        <w:autoSpaceDN w:val="0"/>
        <w:adjustRightInd w:val="0"/>
        <w:ind w:left="426" w:hanging="426"/>
        <w:jc w:val="both"/>
        <w:rPr>
          <w:rFonts w:ascii="Ping LCG Regular" w:hAnsi="Ping LCG Regular" w:cs="Arial"/>
          <w:bCs/>
          <w:i/>
          <w:spacing w:val="-14"/>
          <w:sz w:val="22"/>
          <w:szCs w:val="22"/>
        </w:rPr>
      </w:pPr>
      <w:r w:rsidRPr="00FD35CF">
        <w:rPr>
          <w:rFonts w:ascii="Ping LCG Regular" w:hAnsi="Ping LCG Regular" w:cs="Arial"/>
          <w:spacing w:val="-14"/>
          <w:sz w:val="22"/>
          <w:szCs w:val="22"/>
        </w:rPr>
        <w:t xml:space="preserve">κ. Εμμανουήλ Χατζάκη, Διευθυντή Κλάδου Σχέσεων με Αγορές, </w:t>
      </w:r>
    </w:p>
    <w:p w14:paraId="3CA133C4" w14:textId="23A56A3E" w:rsidR="000E26A3" w:rsidRPr="00FD35CF" w:rsidRDefault="000E26A3" w:rsidP="0025244D">
      <w:pPr>
        <w:pStyle w:val="ListParagraph"/>
        <w:ind w:left="426" w:hanging="426"/>
        <w:jc w:val="both"/>
        <w:rPr>
          <w:rFonts w:ascii="Ping LCG Regular" w:hAnsi="Ping LCG Regular" w:cs="Arial"/>
          <w:spacing w:val="-14"/>
          <w:sz w:val="22"/>
          <w:szCs w:val="22"/>
          <w:lang w:val="en-US"/>
        </w:rPr>
      </w:pPr>
      <w:r w:rsidRPr="00FD35CF">
        <w:rPr>
          <w:rFonts w:ascii="Ping LCG Regular" w:hAnsi="Ping LCG Regular" w:cs="Arial"/>
          <w:spacing w:val="-14"/>
          <w:sz w:val="22"/>
          <w:szCs w:val="22"/>
        </w:rPr>
        <w:tab/>
      </w:r>
      <w:r w:rsidR="00454FD8" w:rsidRPr="00FD35CF">
        <w:rPr>
          <w:rFonts w:ascii="Ping LCG Regular" w:hAnsi="Ping LCG Regular" w:cs="Arial"/>
          <w:spacing w:val="-14"/>
          <w:sz w:val="22"/>
          <w:szCs w:val="22"/>
        </w:rPr>
        <w:t>τηλ</w:t>
      </w:r>
      <w:r w:rsidR="00454FD8" w:rsidRPr="00FD35CF">
        <w:rPr>
          <w:rFonts w:ascii="Ping LCG Regular" w:hAnsi="Ping LCG Regular" w:cs="Arial"/>
          <w:spacing w:val="-14"/>
          <w:sz w:val="22"/>
          <w:szCs w:val="22"/>
          <w:lang w:val="en-US"/>
        </w:rPr>
        <w:t xml:space="preserve">. 210 5235832, e-mail: </w:t>
      </w:r>
      <w:hyperlink r:id="rId17" w:history="1">
        <w:r w:rsidR="00A04BBB" w:rsidRPr="003F02CA">
          <w:rPr>
            <w:rStyle w:val="Hyperlink"/>
            <w:rFonts w:ascii="Ping LCG Regular" w:hAnsi="Ping LCG Regular" w:cs="Arial"/>
            <w:spacing w:val="-14"/>
            <w:sz w:val="22"/>
            <w:szCs w:val="22"/>
            <w:lang w:val="en-US"/>
          </w:rPr>
          <w:t>e.chatzakis@dei.gr</w:t>
        </w:r>
      </w:hyperlink>
      <w:r w:rsidR="00454FD8" w:rsidRPr="00FD35CF">
        <w:rPr>
          <w:rFonts w:ascii="Ping LCG Regular" w:hAnsi="Ping LCG Regular" w:cs="Arial"/>
          <w:spacing w:val="-14"/>
          <w:sz w:val="22"/>
          <w:szCs w:val="22"/>
          <w:lang w:val="en-US"/>
        </w:rPr>
        <w:t>.</w:t>
      </w:r>
    </w:p>
    <w:p w14:paraId="388076DB" w14:textId="7CB3F2FD" w:rsidR="00E32210" w:rsidRPr="00FD35CF" w:rsidRDefault="00E32210" w:rsidP="0025244D">
      <w:pPr>
        <w:pStyle w:val="ListParagraph"/>
        <w:ind w:left="426" w:hanging="426"/>
        <w:jc w:val="both"/>
        <w:rPr>
          <w:sz w:val="22"/>
          <w:szCs w:val="22"/>
          <w:highlight w:val="yellow"/>
          <w:lang w:val="en-US"/>
        </w:rPr>
      </w:pPr>
    </w:p>
    <w:p w14:paraId="6713FD94" w14:textId="77777777" w:rsidR="000A2A5C" w:rsidRPr="00FD35CF" w:rsidRDefault="000A2A5C" w:rsidP="0025244D">
      <w:pPr>
        <w:spacing w:after="200" w:line="276" w:lineRule="auto"/>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Το Δελτίο Τύπου είναι διαθέσιμο στον διαδικτυακό τόπο της ΔΕΗ Α.Ε (</w:t>
      </w:r>
      <w:hyperlink r:id="rId18" w:history="1">
        <w:r w:rsidRPr="00FD35CF">
          <w:rPr>
            <w:rStyle w:val="Hyperlink"/>
            <w:rFonts w:ascii="Ping LCG Regular" w:hAnsi="Ping LCG Regular" w:cs="Arial"/>
            <w:spacing w:val="-14"/>
            <w:sz w:val="22"/>
            <w:szCs w:val="22"/>
          </w:rPr>
          <w:t>www</w:t>
        </w:r>
        <w:r w:rsidRPr="00FD35CF">
          <w:rPr>
            <w:rStyle w:val="Hyperlink"/>
            <w:rFonts w:ascii="Ping LCG Regular" w:hAnsi="Ping LCG Regular"/>
            <w:sz w:val="22"/>
            <w:szCs w:val="22"/>
            <w:lang w:val="el-GR"/>
          </w:rPr>
          <w:t>.</w:t>
        </w:r>
        <w:r w:rsidRPr="00FD35CF">
          <w:rPr>
            <w:rStyle w:val="Hyperlink"/>
            <w:rFonts w:ascii="Ping LCG Regular" w:hAnsi="Ping LCG Regular" w:cs="Arial"/>
            <w:spacing w:val="-14"/>
            <w:sz w:val="22"/>
            <w:szCs w:val="22"/>
          </w:rPr>
          <w:t>dei</w:t>
        </w:r>
        <w:r w:rsidRPr="00FD35CF">
          <w:rPr>
            <w:rStyle w:val="Hyperlink"/>
            <w:rFonts w:ascii="Ping LCG Regular" w:hAnsi="Ping LCG Regular"/>
            <w:sz w:val="22"/>
            <w:szCs w:val="22"/>
            <w:lang w:val="el-GR"/>
          </w:rPr>
          <w:t>.</w:t>
        </w:r>
        <w:r w:rsidRPr="00FD35CF">
          <w:rPr>
            <w:rStyle w:val="Hyperlink"/>
            <w:rFonts w:ascii="Ping LCG Regular" w:hAnsi="Ping LCG Regular" w:cs="Arial"/>
            <w:spacing w:val="-14"/>
            <w:sz w:val="22"/>
            <w:szCs w:val="22"/>
          </w:rPr>
          <w:t>gr</w:t>
        </w:r>
      </w:hyperlink>
      <w:r w:rsidRPr="00FD35CF">
        <w:rPr>
          <w:rFonts w:ascii="Ping LCG Regular" w:hAnsi="Ping LCG Regular" w:cs="Arial"/>
          <w:spacing w:val="-14"/>
          <w:sz w:val="22"/>
          <w:szCs w:val="22"/>
          <w:lang w:val="el-GR"/>
        </w:rPr>
        <w:t xml:space="preserve">) στην ενότητα “Επενδυτικές Σχέσεις”. </w:t>
      </w:r>
    </w:p>
    <w:p w14:paraId="04F4043D" w14:textId="77777777" w:rsidR="000A2A5C" w:rsidRPr="00FD35CF" w:rsidRDefault="000A2A5C" w:rsidP="0025244D">
      <w:pPr>
        <w:spacing w:after="200" w:line="276" w:lineRule="auto"/>
        <w:jc w:val="both"/>
        <w:rPr>
          <w:rFonts w:ascii="Ping LCG Regular" w:hAnsi="Ping LCG Regular" w:cs="Arial"/>
          <w:b/>
          <w:bCs/>
          <w:spacing w:val="-14"/>
          <w:sz w:val="22"/>
          <w:szCs w:val="22"/>
          <w:lang w:val="el-GR"/>
        </w:rPr>
      </w:pPr>
      <w:r w:rsidRPr="00FD35CF">
        <w:rPr>
          <w:rFonts w:ascii="Ping LCG Regular" w:hAnsi="Ping LCG Regular" w:cs="Arial"/>
          <w:b/>
          <w:bCs/>
          <w:spacing w:val="-14"/>
          <w:sz w:val="22"/>
          <w:szCs w:val="22"/>
          <w:lang w:val="el-GR"/>
        </w:rPr>
        <w:t>Σχετικά με τη Δημόσια Επιχείρηση Ηλεκτρισμού Α.Ε.</w:t>
      </w:r>
    </w:p>
    <w:p w14:paraId="20535A19" w14:textId="0BF22AB5" w:rsidR="000A2A5C" w:rsidRPr="006322FA" w:rsidRDefault="000A2A5C" w:rsidP="0025244D">
      <w:pPr>
        <w:spacing w:after="120"/>
        <w:jc w:val="both"/>
        <w:rPr>
          <w:rFonts w:ascii="Ping LCG Regular" w:hAnsi="Ping LCG Regular" w:cs="Arial"/>
          <w:spacing w:val="-14"/>
          <w:sz w:val="22"/>
          <w:szCs w:val="22"/>
          <w:lang w:val="el-GR"/>
        </w:rPr>
      </w:pPr>
      <w:r w:rsidRPr="006322FA">
        <w:rPr>
          <w:rFonts w:ascii="Ping LCG Regular" w:hAnsi="Ping LCG Regular" w:cs="Arial"/>
          <w:spacing w:val="-14"/>
          <w:sz w:val="22"/>
          <w:szCs w:val="22"/>
          <w:lang w:val="el-GR"/>
        </w:rPr>
        <w:t>Η Δ.Ε.Η. είναι ο μεγαλύτερος παραγωγός και προμηθευτής ηλεκτρικής ενέργειας στην Ελλάδα με παραγωγικό δυναμικό 11,</w:t>
      </w:r>
      <w:r w:rsidR="0081378C" w:rsidRPr="006322FA">
        <w:rPr>
          <w:rFonts w:ascii="Ping LCG Regular" w:hAnsi="Ping LCG Regular" w:cs="Arial"/>
          <w:spacing w:val="-14"/>
          <w:sz w:val="22"/>
          <w:szCs w:val="22"/>
          <w:lang w:val="el-GR"/>
        </w:rPr>
        <w:t>2</w:t>
      </w:r>
      <w:r w:rsidRPr="006322FA">
        <w:rPr>
          <w:rFonts w:ascii="Ping LCG Regular" w:hAnsi="Ping LCG Regular" w:cs="Arial"/>
          <w:spacing w:val="-14"/>
          <w:sz w:val="22"/>
          <w:szCs w:val="22"/>
          <w:lang w:val="el-GR"/>
        </w:rPr>
        <w:t xml:space="preserve"> GW, εξυπηρετώντας περίπου 5,6 εκατ. καταναλωτές. Επιπλέον, η Δ.Ε.Η. κατέχει το 51% των μετοχών του Διαχειριστή Ελληνικού Δικτύου Διανομής Ηλεκτρικής Ενέργειας Α.Ε., που είναι ο αποκλειστικός κύριος και διαχειριστής του δικτύου διανομής ηλεκτρικής ενέργειας της χώρας. Η Δ.Ε.Η. είναι εισηγμένη εταιρεία και οι μετοχές της αποτελούν αντικείμενο διαπραγμάτευσης στην Κύρια Αγορά του Χρηματιστηρίου Αθηνών.</w:t>
      </w:r>
    </w:p>
    <w:p w14:paraId="38B444ED" w14:textId="3FA79827" w:rsidR="000A2A5C" w:rsidRPr="008D4C9B" w:rsidRDefault="00B21584" w:rsidP="0025244D">
      <w:pPr>
        <w:spacing w:after="120"/>
        <w:jc w:val="both"/>
        <w:rPr>
          <w:rFonts w:ascii="Ping LCG Regular" w:hAnsi="Ping LCG Regular" w:cs="Arial"/>
          <w:spacing w:val="-14"/>
          <w:sz w:val="22"/>
          <w:szCs w:val="22"/>
          <w:lang w:val="el-GR"/>
        </w:rPr>
      </w:pPr>
      <w:r w:rsidRPr="006322FA">
        <w:rPr>
          <w:rFonts w:ascii="Ping LCG Regular" w:hAnsi="Ping LCG Regular" w:cs="Arial"/>
          <w:spacing w:val="-14"/>
          <w:sz w:val="22"/>
          <w:szCs w:val="22"/>
          <w:lang w:val="el-GR"/>
        </w:rPr>
        <w:t>Μετά την ολοκλήρωση της εξαγοράς των δραστηριοτήτων της E</w:t>
      </w:r>
      <w:r w:rsidR="00CA46DC" w:rsidRPr="006322FA">
        <w:rPr>
          <w:rFonts w:ascii="Ping LCG Regular" w:hAnsi="Ping LCG Regular" w:cs="Arial"/>
          <w:spacing w:val="-14"/>
          <w:sz w:val="22"/>
          <w:szCs w:val="22"/>
        </w:rPr>
        <w:t>nel</w:t>
      </w:r>
      <w:r w:rsidRPr="006322FA">
        <w:rPr>
          <w:rFonts w:ascii="Ping LCG Regular" w:hAnsi="Ping LCG Regular" w:cs="Arial"/>
          <w:spacing w:val="-14"/>
          <w:sz w:val="22"/>
          <w:szCs w:val="22"/>
          <w:lang w:val="el-GR"/>
        </w:rPr>
        <w:t xml:space="preserve"> στη Ρουμανία, </w:t>
      </w:r>
      <w:r w:rsidR="00CA46DC" w:rsidRPr="006322FA">
        <w:rPr>
          <w:rFonts w:ascii="Ping LCG Regular" w:hAnsi="Ping LCG Regular" w:cs="Arial"/>
          <w:spacing w:val="-14"/>
          <w:sz w:val="22"/>
          <w:szCs w:val="22"/>
          <w:lang w:val="el-GR"/>
        </w:rPr>
        <w:t xml:space="preserve">το συνολικό </w:t>
      </w:r>
      <w:r w:rsidRPr="006322FA">
        <w:rPr>
          <w:rFonts w:ascii="Ping LCG Regular" w:hAnsi="Ping LCG Regular" w:cs="Arial"/>
          <w:spacing w:val="-14"/>
          <w:sz w:val="22"/>
          <w:szCs w:val="22"/>
          <w:lang w:val="el-GR"/>
        </w:rPr>
        <w:t>το παραγωγικό δυναμικό τ</w:t>
      </w:r>
      <w:r w:rsidR="00CA46DC" w:rsidRPr="006322FA">
        <w:rPr>
          <w:rFonts w:ascii="Ping LCG Regular" w:hAnsi="Ping LCG Regular" w:cs="Arial"/>
          <w:spacing w:val="-14"/>
          <w:sz w:val="22"/>
          <w:szCs w:val="22"/>
          <w:lang w:val="el-GR"/>
        </w:rPr>
        <w:t>ου Ομίλου</w:t>
      </w:r>
      <w:r w:rsidRPr="006322FA">
        <w:rPr>
          <w:rFonts w:ascii="Ping LCG Regular" w:hAnsi="Ping LCG Regular" w:cs="Arial"/>
          <w:spacing w:val="-14"/>
          <w:sz w:val="22"/>
          <w:szCs w:val="22"/>
          <w:lang w:val="el-GR"/>
        </w:rPr>
        <w:t xml:space="preserve"> ΔΕΗ ανέρχεται σε 11,</w:t>
      </w:r>
      <w:r w:rsidR="007C323D" w:rsidRPr="006322FA">
        <w:rPr>
          <w:rFonts w:ascii="Ping LCG Regular" w:hAnsi="Ping LCG Regular" w:cs="Arial"/>
          <w:spacing w:val="-14"/>
          <w:sz w:val="22"/>
          <w:szCs w:val="22"/>
          <w:lang w:val="el-GR"/>
        </w:rPr>
        <w:t>8</w:t>
      </w:r>
      <w:r w:rsidRPr="006322FA">
        <w:rPr>
          <w:rFonts w:ascii="Ping LCG Regular" w:hAnsi="Ping LCG Regular" w:cs="Arial"/>
          <w:spacing w:val="-14"/>
          <w:sz w:val="22"/>
          <w:szCs w:val="22"/>
          <w:lang w:val="el-GR"/>
        </w:rPr>
        <w:t xml:space="preserve">GW, με θερμικούς και υδροηλεκτρικούς σταθμούς καθώς και εγκαταστάσεις Ανανεώσιμων Πηγών Ενέργειας. </w:t>
      </w:r>
      <w:r w:rsidR="00D55C4B" w:rsidRPr="006322FA">
        <w:rPr>
          <w:rFonts w:ascii="Ping LCG Regular" w:hAnsi="Ping LCG Regular" w:cs="Arial"/>
          <w:spacing w:val="-14"/>
          <w:sz w:val="22"/>
          <w:szCs w:val="22"/>
          <w:lang w:val="el-GR"/>
        </w:rPr>
        <w:t xml:space="preserve">Ο Όμιλος </w:t>
      </w:r>
      <w:r w:rsidRPr="006322FA">
        <w:rPr>
          <w:rFonts w:ascii="Ping LCG Regular" w:hAnsi="Ping LCG Regular" w:cs="Arial"/>
          <w:spacing w:val="-14"/>
          <w:sz w:val="22"/>
          <w:szCs w:val="22"/>
          <w:lang w:val="el-GR"/>
        </w:rPr>
        <w:t xml:space="preserve">ΔΕΗ </w:t>
      </w:r>
      <w:r w:rsidR="00CA46DC" w:rsidRPr="006322FA">
        <w:rPr>
          <w:rFonts w:ascii="Ping LCG Regular" w:hAnsi="Ping LCG Regular" w:cs="Arial"/>
          <w:spacing w:val="-14"/>
          <w:sz w:val="22"/>
          <w:szCs w:val="22"/>
          <w:lang w:val="el-GR"/>
        </w:rPr>
        <w:t>αποτελεί τον</w:t>
      </w:r>
      <w:r w:rsidRPr="006322FA">
        <w:rPr>
          <w:rFonts w:ascii="Ping LCG Regular" w:hAnsi="Ping LCG Regular" w:cs="Arial"/>
          <w:spacing w:val="-14"/>
          <w:sz w:val="22"/>
          <w:szCs w:val="22"/>
          <w:lang w:val="el-GR"/>
        </w:rPr>
        <w:t xml:space="preserve"> μεγαλύτερο προμηθευτή ηλεκτρικής ενέργειας στην Ελλάδα και τη Ρουμανία, εξυπηρετώντας περίπου 8,7 εκατ. πελάτες στους οποίους παρέχει περίπου 4</w:t>
      </w:r>
      <w:r w:rsidR="00DC55AF" w:rsidRPr="006322FA">
        <w:rPr>
          <w:rFonts w:ascii="Ping LCG Regular" w:hAnsi="Ping LCG Regular" w:cs="Arial"/>
          <w:spacing w:val="-14"/>
          <w:sz w:val="22"/>
          <w:szCs w:val="22"/>
          <w:lang w:val="el-GR"/>
        </w:rPr>
        <w:t>0</w:t>
      </w:r>
      <w:r w:rsidRPr="006322FA">
        <w:rPr>
          <w:rFonts w:ascii="Ping LCG Regular" w:hAnsi="Ping LCG Regular" w:cs="Arial"/>
          <w:spacing w:val="-14"/>
          <w:sz w:val="22"/>
          <w:szCs w:val="22"/>
          <w:lang w:val="el-GR"/>
        </w:rPr>
        <w:t>TWh ενέργειας, ενώ η παραγωγή τ</w:t>
      </w:r>
      <w:r w:rsidR="00D55C4B" w:rsidRPr="006322FA">
        <w:rPr>
          <w:rFonts w:ascii="Ping LCG Regular" w:hAnsi="Ping LCG Regular" w:cs="Arial"/>
          <w:spacing w:val="-14"/>
          <w:sz w:val="22"/>
          <w:szCs w:val="22"/>
          <w:lang w:val="el-GR"/>
        </w:rPr>
        <w:t>ου</w:t>
      </w:r>
      <w:r w:rsidRPr="006322FA">
        <w:rPr>
          <w:rFonts w:ascii="Ping LCG Regular" w:hAnsi="Ping LCG Regular" w:cs="Arial"/>
          <w:spacing w:val="-14"/>
          <w:sz w:val="22"/>
          <w:szCs w:val="22"/>
          <w:lang w:val="el-GR"/>
        </w:rPr>
        <w:t xml:space="preserve"> φτάνει τις 2</w:t>
      </w:r>
      <w:r w:rsidR="002A3A86" w:rsidRPr="006322FA">
        <w:rPr>
          <w:rFonts w:ascii="Ping LCG Regular" w:hAnsi="Ping LCG Regular" w:cs="Arial"/>
          <w:spacing w:val="-14"/>
          <w:sz w:val="22"/>
          <w:szCs w:val="22"/>
          <w:lang w:val="el-GR"/>
        </w:rPr>
        <w:t>0</w:t>
      </w:r>
      <w:r w:rsidRPr="006322FA">
        <w:rPr>
          <w:rFonts w:ascii="Ping LCG Regular" w:hAnsi="Ping LCG Regular" w:cs="Arial"/>
          <w:spacing w:val="-14"/>
          <w:sz w:val="22"/>
          <w:szCs w:val="22"/>
          <w:lang w:val="el-GR"/>
        </w:rPr>
        <w:t xml:space="preserve">TWh. Η </w:t>
      </w:r>
      <w:r w:rsidR="00D55C4B" w:rsidRPr="006322FA">
        <w:rPr>
          <w:rFonts w:ascii="Ping LCG Regular" w:hAnsi="Ping LCG Regular" w:cs="Arial"/>
          <w:spacing w:val="-14"/>
          <w:sz w:val="22"/>
          <w:szCs w:val="22"/>
          <w:lang w:val="el-GR"/>
        </w:rPr>
        <w:t xml:space="preserve">συνολική </w:t>
      </w:r>
      <w:r w:rsidRPr="006322FA">
        <w:rPr>
          <w:rFonts w:ascii="Ping LCG Regular" w:hAnsi="Ping LCG Regular" w:cs="Arial"/>
          <w:spacing w:val="-14"/>
          <w:sz w:val="22"/>
          <w:szCs w:val="22"/>
          <w:lang w:val="el-GR"/>
        </w:rPr>
        <w:t xml:space="preserve">Ρυθμιζόμενη Περιουσιακή Βάση των δικτύων διανομής ανέρχεται σε </w:t>
      </w:r>
      <w:r w:rsidR="009204F2" w:rsidRPr="006322FA">
        <w:rPr>
          <w:rFonts w:ascii="Ping LCG Regular" w:hAnsi="Ping LCG Regular" w:cs="Arial"/>
          <w:spacing w:val="-14"/>
          <w:sz w:val="22"/>
          <w:szCs w:val="22"/>
          <w:lang w:val="el-GR"/>
        </w:rPr>
        <w:t xml:space="preserve">περίπου </w:t>
      </w:r>
      <w:r w:rsidRPr="006322FA">
        <w:rPr>
          <w:rFonts w:ascii="Ping LCG Regular" w:hAnsi="Ping LCG Regular" w:cs="Arial"/>
          <w:spacing w:val="-14"/>
          <w:sz w:val="22"/>
          <w:szCs w:val="22"/>
          <w:lang w:val="el-GR"/>
        </w:rPr>
        <w:t>€4,</w:t>
      </w:r>
      <w:r w:rsidR="00DC55AF" w:rsidRPr="006322FA">
        <w:rPr>
          <w:rFonts w:ascii="Ping LCG Regular" w:hAnsi="Ping LCG Regular" w:cs="Arial"/>
          <w:spacing w:val="-14"/>
          <w:sz w:val="22"/>
          <w:szCs w:val="22"/>
          <w:lang w:val="el-GR"/>
        </w:rPr>
        <w:t>2</w:t>
      </w:r>
      <w:r w:rsidRPr="006322FA">
        <w:rPr>
          <w:rFonts w:ascii="Ping LCG Regular" w:hAnsi="Ping LCG Regular" w:cs="Arial"/>
          <w:spacing w:val="-14"/>
          <w:sz w:val="22"/>
          <w:szCs w:val="22"/>
          <w:lang w:val="el-GR"/>
        </w:rPr>
        <w:t xml:space="preserve"> δισ.</w:t>
      </w:r>
    </w:p>
    <w:p w14:paraId="7A2D3EBB" w14:textId="77777777" w:rsidR="00B21584" w:rsidRPr="00FD35CF" w:rsidRDefault="00B21584" w:rsidP="0025244D">
      <w:pPr>
        <w:spacing w:after="120"/>
        <w:jc w:val="both"/>
        <w:rPr>
          <w:rFonts w:ascii="Ping LCG Regular" w:hAnsi="Ping LCG Regular" w:cs="Arial"/>
          <w:spacing w:val="-14"/>
          <w:sz w:val="22"/>
          <w:szCs w:val="22"/>
          <w:lang w:val="el-GR"/>
        </w:rPr>
      </w:pPr>
    </w:p>
    <w:p w14:paraId="76C51BC0" w14:textId="77777777" w:rsidR="000A2A5C" w:rsidRPr="00FD35CF" w:rsidRDefault="000A2A5C" w:rsidP="0025244D">
      <w:pPr>
        <w:spacing w:after="200"/>
        <w:jc w:val="both"/>
        <w:rPr>
          <w:rFonts w:ascii="Ping LCG Regular" w:hAnsi="Ping LCG Regular" w:cs="Arial"/>
          <w:b/>
          <w:bCs/>
          <w:spacing w:val="-14"/>
          <w:sz w:val="22"/>
          <w:szCs w:val="22"/>
          <w:lang w:val="el-GR"/>
        </w:rPr>
      </w:pPr>
      <w:r w:rsidRPr="00FD35CF">
        <w:rPr>
          <w:rFonts w:ascii="Ping LCG Regular" w:hAnsi="Ping LCG Regular" w:cs="Arial"/>
          <w:b/>
          <w:bCs/>
          <w:spacing w:val="-14"/>
          <w:sz w:val="22"/>
          <w:szCs w:val="22"/>
          <w:lang w:val="el-GR"/>
        </w:rPr>
        <w:t>Δήλωση αποποίησης ευθύνης</w:t>
      </w:r>
    </w:p>
    <w:p w14:paraId="02C684EC" w14:textId="3625BB32" w:rsidR="000A2A5C" w:rsidRPr="00FD35CF" w:rsidRDefault="000A2A5C" w:rsidP="0025244D">
      <w:pPr>
        <w:spacing w:after="200"/>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 xml:space="preserve">Ορισμένες πληροφορίες που περιέχονται στην παρούσα ανακοίνωση, συμπεριλαμβανομένων των μελλοντικών EBITDA, των κερδών, των δαπανών και άλλων οικονομικών μέτρων που αφορούν σε μελλοντικές περιόδους, βασίζονται σε τρέχουσες προσδοκίες και παραδοχές σχετικά με μελλοντικά γεγονότα. Οι χρηματοοικονομικοί δείκτες που αναφέρονται σε μελλοντικές περιόδους βασίζονται σε τρέχουσες εύλογες και καλόπιστες παραδοχές. Δεν παρέχουμε καμία διαβεβαίωση ότι οι εν λόγω χρηματοοικονομικοί δείκτες θα επιτευχθούν.  </w:t>
      </w:r>
    </w:p>
    <w:p w14:paraId="14E60211" w14:textId="010EAD09" w:rsidR="000A2A5C" w:rsidRPr="00FD35CF" w:rsidRDefault="000A2A5C" w:rsidP="0025244D">
      <w:pPr>
        <w:spacing w:after="200"/>
        <w:jc w:val="both"/>
        <w:rPr>
          <w:rFonts w:ascii="Ping LCG Regular" w:hAnsi="Ping LCG Regular" w:cs="Arial"/>
          <w:spacing w:val="-14"/>
          <w:sz w:val="22"/>
          <w:szCs w:val="22"/>
          <w:lang w:val="el-GR"/>
        </w:rPr>
      </w:pPr>
      <w:r w:rsidRPr="00FD35CF">
        <w:rPr>
          <w:rFonts w:ascii="Ping LCG Regular" w:hAnsi="Ping LCG Regular" w:cs="Arial"/>
          <w:spacing w:val="-14"/>
          <w:sz w:val="22"/>
          <w:szCs w:val="22"/>
          <w:lang w:val="el-GR"/>
        </w:rPr>
        <w:t xml:space="preserve">Αυτές οι δηλώσεις που αφορούν μελλοντικά γεγονότα υπόκεινται, μεταξύ άλλων, i) στους επιχειρηματικούς, οικονομικούς και ανταγωνιστικούς κινδύνους, </w:t>
      </w:r>
      <w:r w:rsidR="00955A52" w:rsidRPr="00FD35CF">
        <w:rPr>
          <w:rFonts w:ascii="Ping LCG Regular" w:hAnsi="Ping LCG Regular" w:cs="Arial"/>
          <w:spacing w:val="-14"/>
          <w:sz w:val="22"/>
          <w:szCs w:val="22"/>
        </w:rPr>
        <w:t>ii</w:t>
      </w:r>
      <w:r w:rsidR="00955A5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στις μακροοικονομικές συνθήκες, iii) στη διακύμανση του ευρώ έναντι της συναλλαγματικής ισοτιμίας του δολαρίου ΗΠΑ, iv) στις τιμές πετρελαίου, φυσικού αερίου και ηλεκτρικής ενέργειας και στην τιμή των δικαιωμάτων εκπομπών CO</w:t>
      </w:r>
      <w:r w:rsidRPr="00FD35CF">
        <w:rPr>
          <w:rFonts w:ascii="Ping LCG Regular" w:hAnsi="Ping LCG Regular" w:cs="Arial"/>
          <w:spacing w:val="-14"/>
          <w:sz w:val="22"/>
          <w:szCs w:val="22"/>
          <w:vertAlign w:val="subscript"/>
          <w:lang w:val="el-GR"/>
        </w:rPr>
        <w:t>2</w:t>
      </w:r>
      <w:r w:rsidRPr="00FD35CF">
        <w:rPr>
          <w:rFonts w:ascii="Ping LCG Regular" w:hAnsi="Ping LCG Regular" w:cs="Arial"/>
          <w:spacing w:val="-14"/>
          <w:sz w:val="22"/>
          <w:szCs w:val="22"/>
          <w:lang w:val="el-GR"/>
        </w:rPr>
        <w:t>, v) στις αλλαγές του τοπίου της αγοράς και του νομικού, κανονιστικού</w:t>
      </w:r>
      <w:r w:rsidR="000468F6">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φορολογικού </w:t>
      </w:r>
      <w:r w:rsidR="003A5F72">
        <w:rPr>
          <w:rFonts w:ascii="Ping LCG Regular" w:hAnsi="Ping LCG Regular" w:cs="Arial"/>
          <w:spacing w:val="-14"/>
          <w:sz w:val="22"/>
          <w:szCs w:val="22"/>
          <w:lang w:val="el-GR"/>
        </w:rPr>
        <w:t xml:space="preserve">και δημοσιονομικού </w:t>
      </w:r>
      <w:r w:rsidRPr="00FD35CF">
        <w:rPr>
          <w:rFonts w:ascii="Ping LCG Regular" w:hAnsi="Ping LCG Regular" w:cs="Arial"/>
          <w:spacing w:val="-14"/>
          <w:sz w:val="22"/>
          <w:szCs w:val="22"/>
          <w:lang w:val="el-GR"/>
        </w:rPr>
        <w:t>τοπίου, vi) στην εξέλιξη του επισφαλούς χρέους, και</w:t>
      </w:r>
      <w:r w:rsidR="009D6A6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 </w:t>
      </w:r>
      <w:r w:rsidR="009D6A62" w:rsidRPr="00FD35CF">
        <w:rPr>
          <w:rFonts w:ascii="Ping LCG Regular" w:hAnsi="Ping LCG Regular" w:cs="Arial"/>
          <w:spacing w:val="-14"/>
          <w:sz w:val="22"/>
          <w:szCs w:val="22"/>
        </w:rPr>
        <w:t>vii</w:t>
      </w:r>
      <w:r w:rsidR="009D6A62" w:rsidRPr="00FD35CF">
        <w:rPr>
          <w:rFonts w:ascii="Ping LCG Regular" w:hAnsi="Ping LCG Regular" w:cs="Arial"/>
          <w:spacing w:val="-14"/>
          <w:sz w:val="22"/>
          <w:szCs w:val="22"/>
          <w:lang w:val="el-GR"/>
        </w:rPr>
        <w:t xml:space="preserve">) </w:t>
      </w:r>
      <w:r w:rsidRPr="00FD35CF">
        <w:rPr>
          <w:rFonts w:ascii="Ping LCG Regular" w:hAnsi="Ping LCG Regular" w:cs="Arial"/>
          <w:spacing w:val="-14"/>
          <w:sz w:val="22"/>
          <w:szCs w:val="22"/>
          <w:lang w:val="el-GR"/>
        </w:rPr>
        <w:t xml:space="preserve">άλλες αβεβαιότητες και απρόβλεπτες καταστάσεις, οι οποίες σχετίζονται με παράγοντες που η ΔΕΗ δεν είναι σε θέση να ελέγξει ή να εκτιμήσει με ακρίβεια, και οι οποίοι θα μπορούσαν να έχουν ως αποτέλεσμα την ουσιαστική διαφοροποίηση των πραγματικών γεγονότων ή των αποτελεσμάτων από εκείνα που εκφράζονται στην ανακοίνωση. Ως εκ τούτου, δεν θα πρέπει να βασίζεστε υπέρ του δέοντος σε αυτές τις δηλώσεις που αφορούν μελλοντικά γεγονότα, οι οποίες αφορούν μόνον την ημερομηνία της παρούσας ανακοίνωσης. </w:t>
      </w:r>
    </w:p>
    <w:p w14:paraId="56E9FFB9" w14:textId="77777777" w:rsidR="000A2A5C" w:rsidRPr="00FD35CF" w:rsidRDefault="000A2A5C" w:rsidP="0025244D">
      <w:pPr>
        <w:spacing w:after="200"/>
        <w:jc w:val="both"/>
        <w:rPr>
          <w:rFonts w:ascii="Ping LCG Regular" w:hAnsi="Ping LCG Regular"/>
          <w:sz w:val="22"/>
          <w:szCs w:val="22"/>
          <w:lang w:val="el-GR"/>
        </w:rPr>
      </w:pPr>
      <w:r w:rsidRPr="00FD35CF">
        <w:rPr>
          <w:rFonts w:ascii="Ping LCG Regular" w:hAnsi="Ping LCG Regular" w:cs="Arial"/>
          <w:spacing w:val="-14"/>
          <w:sz w:val="22"/>
          <w:szCs w:val="22"/>
          <w:lang w:val="el-GR"/>
        </w:rPr>
        <w:t xml:space="preserve">Η ΔΕΗ δεν αναλαμβάνει καμία υποχρέωση να δημοσιοποιήσει τυχόν αναθεωρήσεις αυτών των δηλώσεων ώστε να αντικατοπτρίζουν γεγονότα ή περιστάσεις μετά την ημερομηνία της παρούσας ανακοίνωσης.  </w:t>
      </w:r>
    </w:p>
    <w:p w14:paraId="05C57CD9" w14:textId="5EBB5A1B" w:rsidR="00C54E27" w:rsidRPr="0067593D" w:rsidRDefault="00C54E27" w:rsidP="0025244D">
      <w:pPr>
        <w:jc w:val="both"/>
        <w:rPr>
          <w:rFonts w:ascii="Ping LCG Regular" w:hAnsi="Ping LCG Regular" w:cs="Arial"/>
          <w:b/>
          <w:bCs/>
          <w:color w:val="000000"/>
          <w:sz w:val="20"/>
          <w:szCs w:val="20"/>
          <w:lang w:val="el-GR"/>
        </w:rPr>
      </w:pPr>
    </w:p>
    <w:p w14:paraId="610BB2CA" w14:textId="77777777" w:rsidR="00AE2FB8" w:rsidRPr="004622B9" w:rsidRDefault="00AE2FB8" w:rsidP="00AE2FB8">
      <w:pPr>
        <w:rPr>
          <w:rFonts w:ascii="Ping LCG Regular" w:hAnsi="Ping LCG Regular" w:cs="Arial"/>
          <w:b/>
          <w:bCs/>
          <w:color w:val="000000"/>
          <w:sz w:val="20"/>
          <w:szCs w:val="20"/>
          <w:lang w:val="el-GR"/>
        </w:rPr>
      </w:pPr>
      <w:r w:rsidRPr="004622B9">
        <w:rPr>
          <w:rFonts w:ascii="Ping LCG Regular" w:hAnsi="Ping LCG Regular" w:cs="Arial"/>
          <w:b/>
          <w:bCs/>
          <w:color w:val="000000"/>
          <w:sz w:val="20"/>
          <w:szCs w:val="20"/>
          <w:lang w:val="el-GR"/>
        </w:rPr>
        <w:t>ΠΑΡΑΡΤΗΜΑ Ι – ΣΥΝΟΠΤΙΚΕΣ ΕΝΟΠΟΙΗΜΕΝΕΣ ΟΙΚΟΝΟΜΙΚΕΣ ΚΑΤΑΣΤΑΣΕΙΣ</w:t>
      </w:r>
    </w:p>
    <w:p w14:paraId="41CA367C" w14:textId="77777777" w:rsidR="009947B6" w:rsidRPr="004622B9" w:rsidRDefault="009947B6" w:rsidP="0025244D">
      <w:pPr>
        <w:jc w:val="both"/>
        <w:rPr>
          <w:rFonts w:ascii="Ping LCG Regular" w:hAnsi="Ping LCG Regular" w:cs="Arial"/>
          <w:b/>
          <w:bCs/>
          <w:color w:val="000000"/>
          <w:sz w:val="20"/>
          <w:szCs w:val="20"/>
          <w:lang w:val="el-GR"/>
        </w:rPr>
      </w:pPr>
    </w:p>
    <w:p w14:paraId="1070F1DE" w14:textId="0B156CCF" w:rsidR="00DA00FF" w:rsidRPr="004622B9" w:rsidRDefault="00DA00FF" w:rsidP="0025244D">
      <w:pPr>
        <w:jc w:val="both"/>
        <w:rPr>
          <w:rFonts w:ascii="Ping LCG Regular" w:hAnsi="Ping LCG Regular" w:cs="Arial"/>
          <w:b/>
          <w:spacing w:val="-14"/>
          <w:sz w:val="20"/>
          <w:szCs w:val="20"/>
          <w:lang w:val="el-GR"/>
        </w:rPr>
      </w:pPr>
      <w:r w:rsidRPr="004622B9">
        <w:rPr>
          <w:rFonts w:ascii="Ping LCG Regular" w:hAnsi="Ping LCG Regular" w:cs="Arial"/>
          <w:b/>
          <w:spacing w:val="-14"/>
          <w:sz w:val="20"/>
          <w:szCs w:val="20"/>
          <w:lang w:val="el-GR"/>
        </w:rPr>
        <w:t xml:space="preserve">Ενοποιημένη Κατάσταση  Χρηματοοικονομικής Θέσης </w:t>
      </w:r>
      <w:r w:rsidR="003855BF" w:rsidRPr="004622B9">
        <w:rPr>
          <w:rFonts w:ascii="Ping LCG Regular" w:hAnsi="Ping LCG Regular" w:cs="Arial"/>
          <w:b/>
          <w:spacing w:val="-14"/>
          <w:sz w:val="20"/>
          <w:szCs w:val="20"/>
          <w:lang w:val="el-GR"/>
        </w:rPr>
        <w:t>(Συνοπτική)</w:t>
      </w:r>
      <w:r w:rsidR="00525DCF" w:rsidRPr="004622B9">
        <w:rPr>
          <w:rFonts w:ascii="Ping LCG Regular" w:hAnsi="Ping LCG Regular" w:cs="Arial"/>
          <w:b/>
          <w:spacing w:val="-14"/>
          <w:sz w:val="20"/>
          <w:szCs w:val="20"/>
          <w:lang w:val="el-GR"/>
        </w:rPr>
        <w:t xml:space="preserve"> </w:t>
      </w:r>
    </w:p>
    <w:p w14:paraId="386628C0" w14:textId="5AB2DB52" w:rsidR="00A67665" w:rsidRPr="004622B9" w:rsidRDefault="00A67665" w:rsidP="0025244D">
      <w:pPr>
        <w:jc w:val="both"/>
        <w:rPr>
          <w:rFonts w:ascii="Ping LCG Regular" w:hAnsi="Ping LCG Regular" w:cs="Arial"/>
          <w:b/>
          <w:spacing w:val="-14"/>
          <w:sz w:val="20"/>
          <w:szCs w:val="20"/>
          <w:lang w:val="el-GR"/>
        </w:rPr>
      </w:pPr>
    </w:p>
    <w:p w14:paraId="0AC76055" w14:textId="1B84D986" w:rsidR="000474D4" w:rsidRPr="004622B9" w:rsidRDefault="000508E6" w:rsidP="0025244D">
      <w:pPr>
        <w:jc w:val="both"/>
        <w:rPr>
          <w:rFonts w:ascii="Ping LCG Regular" w:hAnsi="Ping LCG Regular" w:cs="Arial"/>
          <w:b/>
          <w:spacing w:val="-14"/>
          <w:sz w:val="20"/>
          <w:szCs w:val="20"/>
          <w:lang w:val="el-GR"/>
        </w:rPr>
      </w:pPr>
      <w:r w:rsidRPr="000508E6">
        <w:rPr>
          <w:lang w:val="el-GR"/>
        </w:rPr>
        <w:lastRenderedPageBreak/>
        <w:t xml:space="preserve"> </w:t>
      </w:r>
      <w:r w:rsidRPr="000508E6">
        <w:rPr>
          <w:noProof/>
          <w:lang w:val="el-GR" w:eastAsia="el-GR"/>
        </w:rPr>
        <w:drawing>
          <wp:inline distT="0" distB="0" distL="0" distR="0" wp14:anchorId="0240E62D" wp14:editId="73E7CCF2">
            <wp:extent cx="6210935" cy="5204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5204460"/>
                    </a:xfrm>
                    <a:prstGeom prst="rect">
                      <a:avLst/>
                    </a:prstGeom>
                    <a:noFill/>
                    <a:ln>
                      <a:noFill/>
                    </a:ln>
                  </pic:spPr>
                </pic:pic>
              </a:graphicData>
            </a:graphic>
          </wp:inline>
        </w:drawing>
      </w:r>
      <w:r w:rsidR="00806736" w:rsidRPr="004622B9">
        <w:rPr>
          <w:lang w:val="el-GR"/>
        </w:rPr>
        <w:t xml:space="preserve"> </w:t>
      </w:r>
      <w:r w:rsidR="000474D4" w:rsidRPr="004622B9">
        <w:rPr>
          <w:rFonts w:ascii="Ping LCG Regular" w:hAnsi="Ping LCG Regular" w:cs="Arial"/>
          <w:b/>
          <w:spacing w:val="-14"/>
          <w:sz w:val="20"/>
          <w:szCs w:val="20"/>
          <w:lang w:val="el-GR"/>
        </w:rPr>
        <w:br w:type="page"/>
      </w:r>
    </w:p>
    <w:p w14:paraId="68096477" w14:textId="0002E993" w:rsidR="00DA00FF" w:rsidRPr="004622B9" w:rsidRDefault="00DA00FF" w:rsidP="0025244D">
      <w:pPr>
        <w:jc w:val="both"/>
        <w:rPr>
          <w:rFonts w:ascii="Ping LCG Regular" w:hAnsi="Ping LCG Regular" w:cs="Arial"/>
          <w:b/>
          <w:spacing w:val="-14"/>
          <w:sz w:val="20"/>
          <w:szCs w:val="20"/>
          <w:lang w:val="el-GR"/>
        </w:rPr>
      </w:pPr>
      <w:r w:rsidRPr="004622B9">
        <w:rPr>
          <w:rFonts w:ascii="Ping LCG Regular" w:hAnsi="Ping LCG Regular" w:cs="Arial"/>
          <w:b/>
          <w:spacing w:val="-14"/>
          <w:sz w:val="20"/>
          <w:szCs w:val="20"/>
          <w:lang w:val="el-GR"/>
        </w:rPr>
        <w:lastRenderedPageBreak/>
        <w:t xml:space="preserve">Ενοποιημένη Κατάσταση Αποτελεσμάτων </w:t>
      </w:r>
      <w:r w:rsidR="003855BF" w:rsidRPr="004622B9">
        <w:rPr>
          <w:rFonts w:ascii="Ping LCG Regular" w:hAnsi="Ping LCG Regular" w:cs="Arial"/>
          <w:b/>
          <w:spacing w:val="-14"/>
          <w:sz w:val="20"/>
          <w:szCs w:val="20"/>
          <w:lang w:val="el-GR"/>
        </w:rPr>
        <w:t>(Συνοπτική)</w:t>
      </w:r>
    </w:p>
    <w:p w14:paraId="74E1CD10" w14:textId="77777777" w:rsidR="00CD38F1" w:rsidRPr="004622B9" w:rsidRDefault="00CD38F1" w:rsidP="0025244D">
      <w:pPr>
        <w:jc w:val="both"/>
        <w:rPr>
          <w:rFonts w:ascii="Ping LCG Regular" w:hAnsi="Ping LCG Regular" w:cs="Arial"/>
          <w:b/>
          <w:spacing w:val="-14"/>
          <w:sz w:val="20"/>
          <w:szCs w:val="20"/>
          <w:lang w:val="el-GR"/>
        </w:rPr>
      </w:pPr>
    </w:p>
    <w:p w14:paraId="520E81E9" w14:textId="18E4A589" w:rsidR="009144C1" w:rsidRPr="004622B9" w:rsidRDefault="00850C29" w:rsidP="0025244D">
      <w:pPr>
        <w:jc w:val="both"/>
        <w:rPr>
          <w:rFonts w:ascii="Ping LCG Regular" w:hAnsi="Ping LCG Regular" w:cs="Arial"/>
          <w:b/>
          <w:spacing w:val="-14"/>
          <w:sz w:val="20"/>
          <w:szCs w:val="20"/>
          <w:lang w:val="el-GR"/>
        </w:rPr>
      </w:pPr>
      <w:r w:rsidRPr="004622B9">
        <w:rPr>
          <w:lang w:val="el-GR"/>
        </w:rPr>
        <w:t xml:space="preserve"> </w:t>
      </w:r>
      <w:r w:rsidR="008316C1" w:rsidRPr="008316C1">
        <w:rPr>
          <w:noProof/>
          <w:lang w:val="el-GR" w:eastAsia="el-GR"/>
        </w:rPr>
        <w:drawing>
          <wp:inline distT="0" distB="0" distL="0" distR="0" wp14:anchorId="1E381883" wp14:editId="3AC5D214">
            <wp:extent cx="6210935" cy="475551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10935" cy="4755515"/>
                    </a:xfrm>
                    <a:prstGeom prst="rect">
                      <a:avLst/>
                    </a:prstGeom>
                    <a:noFill/>
                    <a:ln>
                      <a:noFill/>
                    </a:ln>
                  </pic:spPr>
                </pic:pic>
              </a:graphicData>
            </a:graphic>
          </wp:inline>
        </w:drawing>
      </w:r>
      <w:r w:rsidR="009144C1" w:rsidRPr="004622B9">
        <w:rPr>
          <w:rFonts w:ascii="Ping LCG Regular" w:hAnsi="Ping LCG Regular" w:cs="Arial"/>
          <w:b/>
          <w:spacing w:val="-14"/>
          <w:sz w:val="20"/>
          <w:szCs w:val="20"/>
          <w:lang w:val="el-GR"/>
        </w:rPr>
        <w:br w:type="page"/>
      </w:r>
    </w:p>
    <w:p w14:paraId="21159085" w14:textId="2A2B1698" w:rsidR="00DA00FF" w:rsidRPr="004622B9" w:rsidRDefault="00DA00FF" w:rsidP="0025244D">
      <w:pPr>
        <w:autoSpaceDE w:val="0"/>
        <w:autoSpaceDN w:val="0"/>
        <w:adjustRightInd w:val="0"/>
        <w:spacing w:line="276" w:lineRule="auto"/>
        <w:jc w:val="both"/>
        <w:rPr>
          <w:rFonts w:ascii="Ping LCG Regular" w:hAnsi="Ping LCG Regular" w:cs="Arial"/>
          <w:b/>
          <w:spacing w:val="-14"/>
          <w:sz w:val="20"/>
          <w:szCs w:val="20"/>
          <w:lang w:val="el-GR"/>
        </w:rPr>
      </w:pPr>
      <w:r w:rsidRPr="004622B9">
        <w:rPr>
          <w:rFonts w:ascii="Ping LCG Regular" w:hAnsi="Ping LCG Regular" w:cs="Arial"/>
          <w:b/>
          <w:spacing w:val="-14"/>
          <w:sz w:val="20"/>
          <w:szCs w:val="20"/>
          <w:lang w:val="el-GR"/>
        </w:rPr>
        <w:lastRenderedPageBreak/>
        <w:t xml:space="preserve">Ενοποιημένη κατάσταση ταμιακών ροών </w:t>
      </w:r>
      <w:r w:rsidR="003855BF" w:rsidRPr="004622B9">
        <w:rPr>
          <w:rFonts w:ascii="Ping LCG Regular" w:hAnsi="Ping LCG Regular" w:cs="Arial"/>
          <w:b/>
          <w:spacing w:val="-14"/>
          <w:sz w:val="20"/>
          <w:szCs w:val="20"/>
          <w:lang w:val="el-GR"/>
        </w:rPr>
        <w:t>(Συνοπτική)</w:t>
      </w:r>
    </w:p>
    <w:p w14:paraId="000111AB" w14:textId="48134733" w:rsidR="002F39FA" w:rsidRPr="004622B9" w:rsidRDefault="002F39FA" w:rsidP="0025244D">
      <w:pPr>
        <w:autoSpaceDE w:val="0"/>
        <w:autoSpaceDN w:val="0"/>
        <w:adjustRightInd w:val="0"/>
        <w:spacing w:line="276" w:lineRule="auto"/>
        <w:jc w:val="both"/>
        <w:rPr>
          <w:rFonts w:ascii="Ping LCG Regular" w:hAnsi="Ping LCG Regular" w:cs="Arial"/>
          <w:b/>
          <w:spacing w:val="-14"/>
          <w:sz w:val="20"/>
          <w:szCs w:val="20"/>
          <w:lang w:val="el-GR"/>
        </w:rPr>
      </w:pPr>
    </w:p>
    <w:p w14:paraId="779137EA" w14:textId="6D80B463" w:rsidR="002911C8" w:rsidRPr="006322FA" w:rsidRDefault="009B6809" w:rsidP="0025244D">
      <w:pPr>
        <w:autoSpaceDE w:val="0"/>
        <w:autoSpaceDN w:val="0"/>
        <w:adjustRightInd w:val="0"/>
        <w:spacing w:line="276" w:lineRule="auto"/>
        <w:jc w:val="both"/>
        <w:rPr>
          <w:rFonts w:ascii="Ping LCG Regular" w:hAnsi="Ping LCG Regular" w:cs="Arial"/>
          <w:b/>
          <w:spacing w:val="-14"/>
          <w:sz w:val="20"/>
          <w:szCs w:val="20"/>
        </w:rPr>
      </w:pPr>
      <w:r w:rsidRPr="009B6809">
        <w:rPr>
          <w:rFonts w:ascii="Ping LCG Regular" w:hAnsi="Ping LCG Regular" w:cs="Arial"/>
          <w:b/>
          <w:spacing w:val="-14"/>
          <w:sz w:val="20"/>
          <w:szCs w:val="20"/>
          <w:lang w:val="el-GR"/>
        </w:rPr>
        <w:t xml:space="preserve"> </w:t>
      </w:r>
      <w:r w:rsidR="00DD630B" w:rsidRPr="00DD630B">
        <w:rPr>
          <w:noProof/>
          <w:lang w:val="el-GR" w:eastAsia="el-GR"/>
        </w:rPr>
        <w:drawing>
          <wp:inline distT="0" distB="0" distL="0" distR="0" wp14:anchorId="46124E83" wp14:editId="1A30213A">
            <wp:extent cx="6210935" cy="6374765"/>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10935" cy="6374765"/>
                    </a:xfrm>
                    <a:prstGeom prst="rect">
                      <a:avLst/>
                    </a:prstGeom>
                    <a:noFill/>
                    <a:ln>
                      <a:noFill/>
                    </a:ln>
                  </pic:spPr>
                </pic:pic>
              </a:graphicData>
            </a:graphic>
          </wp:inline>
        </w:drawing>
      </w:r>
    </w:p>
    <w:p w14:paraId="634271F4" w14:textId="77777777" w:rsidR="002911C8" w:rsidRDefault="002911C8">
      <w:pPr>
        <w:rPr>
          <w:rFonts w:ascii="Ping LCG Regular" w:hAnsi="Ping LCG Regular" w:cs="Arial"/>
          <w:b/>
          <w:spacing w:val="-14"/>
          <w:sz w:val="20"/>
          <w:szCs w:val="20"/>
          <w:lang w:val="el-GR"/>
        </w:rPr>
      </w:pPr>
      <w:r>
        <w:rPr>
          <w:rFonts w:ascii="Ping LCG Regular" w:hAnsi="Ping LCG Regular" w:cs="Arial"/>
          <w:b/>
          <w:spacing w:val="-14"/>
          <w:sz w:val="20"/>
          <w:szCs w:val="20"/>
          <w:lang w:val="el-GR"/>
        </w:rPr>
        <w:br w:type="page"/>
      </w:r>
    </w:p>
    <w:p w14:paraId="04EA4FD6" w14:textId="77777777" w:rsidR="00E72B59" w:rsidRDefault="00E72B59" w:rsidP="00E72B59">
      <w:pPr>
        <w:autoSpaceDE w:val="0"/>
        <w:autoSpaceDN w:val="0"/>
        <w:adjustRightInd w:val="0"/>
        <w:spacing w:after="160"/>
        <w:rPr>
          <w:rFonts w:ascii="Ping LCG Regular" w:hAnsi="Ping LCG Regular" w:cs="Arial"/>
          <w:b/>
          <w:color w:val="000000"/>
          <w:sz w:val="20"/>
          <w:szCs w:val="20"/>
          <w:lang w:val="el-GR"/>
        </w:rPr>
      </w:pPr>
      <w:r w:rsidRPr="005620CF">
        <w:rPr>
          <w:rFonts w:ascii="Ping LCG Regular" w:hAnsi="Ping LCG Regular" w:cs="Arial"/>
          <w:b/>
          <w:bCs/>
          <w:color w:val="000000"/>
          <w:sz w:val="20"/>
          <w:szCs w:val="20"/>
          <w:lang w:val="el-GR"/>
        </w:rPr>
        <w:lastRenderedPageBreak/>
        <w:t xml:space="preserve">ΠΑΡΑΡΤΗΜΑ ΙΙ - </w:t>
      </w:r>
      <w:r w:rsidRPr="005620CF">
        <w:rPr>
          <w:rFonts w:ascii="Ping LCG Regular" w:hAnsi="Ping LCG Regular" w:cs="Arial"/>
          <w:b/>
          <w:color w:val="000000"/>
          <w:sz w:val="20"/>
          <w:szCs w:val="20"/>
          <w:lang w:val="el-GR"/>
        </w:rPr>
        <w:t>Ορισμοί και συμφωνία των Εναλλακτικών Δεικτών Μέτρησης Απόδοσης (“ΕΔΜΑ”)</w:t>
      </w:r>
    </w:p>
    <w:p w14:paraId="69D151EC"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ΠΑΡΑΡΤΗΜΑ</w:t>
      </w:r>
    </w:p>
    <w:p w14:paraId="1E40C7B8"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Ορισμοί και συμφωνία των Εναλλακτικών Δεικτών Μέτρησης Απόδοσης (“ΕΔΜΑ”)</w:t>
      </w:r>
    </w:p>
    <w:p w14:paraId="363A906C"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p>
    <w:p w14:paraId="7FC34A02"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 xml:space="preserve">ΕΝΑΛΛΑΚΤΙΚΟΙ ΔΕΙΚΤΕΣ ΜΕΤΡΗΣΗΣ ΑΠΟΔΟΣΗΣ (“ΕΔΜΑ”) </w:t>
      </w:r>
    </w:p>
    <w:p w14:paraId="01FB3993"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Ο Όμιλος χρησιμοποιεί Εναλλακτικούς Δείκτες Μέτρησης Απόδοσης (“ΕΔΜΑ”) στα πλαίσια λήψης αποφάσεων σχετικά με τον χρηματοοικονομικό, λειτουργικό και στρατηγικό σχεδιασμό του καθώς και για την αξιολόγηση και την δημοσίευση των επιδόσεών του. Αυτοί οι ΕΔΜΑ εξυπηρετούν στην καλύτερη κατανόηση των χρηματοοικονομικών και λειτουργικών αποτελεσμάτων του Ομίλου, της χρηματοοικονομικής του θέσης καθώς και της κατάστασης ταμειακών ροών. Οι εναλλακτικοί δείκτες (ΕΔΜΑ) θα πρέπει να λαμβάνονται υπόψη πάντα σε συνδυασμό με τα οικονομικά αποτελέσματα που έχουν συνταχθεί σύμφωνα με τα ΔΠΧΑ και σε καμία περίπτωση δεν αντικαθιστούν αυτά. </w:t>
      </w:r>
    </w:p>
    <w:p w14:paraId="1DDC5FD9"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p>
    <w:p w14:paraId="2A55B817"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 xml:space="preserve">Εναλλακτικοί Δείκτες Μέτρησης Απόδοσης (“ΕΔΜΑ”) </w:t>
      </w:r>
    </w:p>
    <w:p w14:paraId="358413F0"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Κατά την περιγραφή των επιδόσεων του Ομίλου χρησιμοποιούνται “Προσαρμοσμένοι” δείκτες όπως: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χωρίς εφάπαξ επιπτώσεις, περιθώριο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 χωρίς εφάπαξ επιπτώσεις και Κέρδη / (Ζημίες) χωρίς εφάπαξ επιπτώσεις. Οι δείκτες αυτοί υπολογίζονται αφαιρώντας από τους οικονομικούς δείκτες, οι οποίοι έχουν υπολογιστεί από κονδύλια των ετήσιων ή ενδιάμεσων οικονομικών καταστάσεων, την επίδραση και τα κόστη που προκύπτουν από γεγονότα τα οποία συνέβησαν κατά την εκάστοτε  περίοδο αναφοράς και τα οποία δεν έχουν επηρεάσει τα ποσά των προηγούμενων περιόδων.</w:t>
      </w:r>
    </w:p>
    <w:p w14:paraId="26FD9FE7"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p>
    <w:p w14:paraId="6AEC1FDB"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12EF9">
        <w:rPr>
          <w:rFonts w:ascii="Ping LCG Regular" w:hAnsi="Ping LCG Regular" w:cs="Arial"/>
          <w:b/>
          <w:color w:val="000000"/>
          <w:sz w:val="20"/>
          <w:szCs w:val="20"/>
        </w:rPr>
        <w:t>EBITDA</w:t>
      </w:r>
      <w:r w:rsidRPr="00D615F9">
        <w:rPr>
          <w:rFonts w:ascii="Ping LCG Regular" w:hAnsi="Ping LCG Regular" w:cs="Arial"/>
          <w:b/>
          <w:color w:val="000000"/>
          <w:sz w:val="20"/>
          <w:szCs w:val="20"/>
          <w:lang w:val="el-GR"/>
        </w:rPr>
        <w:t xml:space="preserve"> (Δείκτης λειτουργικών κερδών πριν από αποσβέσεις και απομειώσεις, καθαρές χρηματοοικονομικές δαπάνες και  φόρους) </w:t>
      </w:r>
    </w:p>
    <w:p w14:paraId="7F8F0493"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Ο δείκτης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εξυπηρετεί στην καλύτερη ανάλυση των λειτουργικών αποτελεσμάτων του Ομίλου και υπολογίζεται ως εξής: Σύνολο κύκλου εργασιών μείον το σύνολο των λειτουργικών εξόδων πριν από αποσβέσεις και απομειώσεις. Το περιθώριο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 υπολογίζεται διαιρώντας το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με το σύνολο του κύκλου εργασιών. Οι υπολογισμοί παρουσιάζονται στον Πίνακα Α.</w:t>
      </w:r>
    </w:p>
    <w:p w14:paraId="2CAF6A86"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p>
    <w:p w14:paraId="6096588A"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 xml:space="preserve">Λειτουργικές Δαπάνες προ αποσβέσεων και απομειώσεων, συνολικών καθαρών χρηματοοικονομικών δαπανών και κερδών/(ζημιών) από συγγενείς εταιρείες, χωρίς εφάπαξ επιπτώσεις </w:t>
      </w:r>
    </w:p>
    <w:p w14:paraId="02CF9960"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Ο δείκτης αυτός προκύπτει αν από τη γραμμή «Λειτουργικές Δαπάνες προ Αποσβέσεων και Απομειώσεων» του πίνακα του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όπως παρουσιάζεται ανωτέρω, αφαιρεθούν οι εφάπαξ επιπτώσεις που αναφέρονται στη σημείωση του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Επαναλαμβανόμενου κατωτέρω. Ο δείκτης παρουσιάζεται στον Πίνακα Β.</w:t>
      </w:r>
    </w:p>
    <w:p w14:paraId="713BB949"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p>
    <w:p w14:paraId="1B401551"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12EF9">
        <w:rPr>
          <w:rFonts w:ascii="Ping LCG Regular" w:hAnsi="Ping LCG Regular" w:cs="Arial"/>
          <w:b/>
          <w:color w:val="000000"/>
          <w:sz w:val="20"/>
          <w:szCs w:val="20"/>
        </w:rPr>
        <w:t>EBITDA</w:t>
      </w:r>
      <w:r w:rsidRPr="00D615F9">
        <w:rPr>
          <w:rFonts w:ascii="Ping LCG Regular" w:hAnsi="Ping LCG Regular" w:cs="Arial"/>
          <w:b/>
          <w:color w:val="000000"/>
          <w:sz w:val="20"/>
          <w:szCs w:val="20"/>
          <w:lang w:val="el-GR"/>
        </w:rPr>
        <w:t xml:space="preserve"> Επαναλαμβανόμενο (Δείκτης λειτουργικών κερδών πριν από αποσβέσεις και απομειώσεις, καθαρές χρηματοοικονομικές δαπάνες και  φόρους, χωρίς εφάπαξ επιπτώσεις) </w:t>
      </w:r>
    </w:p>
    <w:p w14:paraId="047E8F48"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Το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εξυπηρετεί στην καλύτερη ανάλυση των λειτουργικών αποτελεσμάτων του Ομίλου, εξαιρουμένης της επίδρασης των εφάπαξ επιπτώσεων. Για την εννεάμηνη περίοδο που έληξε την 30η Σεπτεμβρίου 2022, η εφάπαξ επίπτωση που επηρέασε το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αφορά την έκτακτη εισφορά των παραγωγών ύψους € 276,0 εκατ. (αρνητική επίπτωση). Για την εννεάμηνη περίοδο που έληξε την 30η Σεπτεμβρίου 2023, η εφάπαξ επίπτωση που επηρέασε το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είναι η πρόβλεψη αποζημιώσεων προσωπικού ύψους € </w:t>
      </w:r>
      <w:bookmarkStart w:id="14" w:name="_Hlk149650494"/>
      <w:r w:rsidRPr="00D615F9">
        <w:rPr>
          <w:rFonts w:ascii="Ping LCG Regular" w:hAnsi="Ping LCG Regular" w:cs="Arial"/>
          <w:color w:val="000000"/>
          <w:sz w:val="20"/>
          <w:szCs w:val="20"/>
          <w:lang w:val="el-GR"/>
        </w:rPr>
        <w:t>21,3</w:t>
      </w:r>
      <w:bookmarkEnd w:id="14"/>
      <w:r w:rsidRPr="00D615F9">
        <w:rPr>
          <w:rFonts w:ascii="Ping LCG Regular" w:hAnsi="Ping LCG Regular" w:cs="Arial"/>
          <w:color w:val="000000"/>
          <w:sz w:val="20"/>
          <w:szCs w:val="20"/>
          <w:lang w:val="el-GR"/>
        </w:rPr>
        <w:t xml:space="preserve"> εκατ. (αρνητική επίπτωση). Το περιθώριο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 υπολογίζεται διαιρώντας το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με το σύνολο του κύκλου εργασιών Επαναλαμβανόμενου. Ο υπολογισμός του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Επαναλαμβανόμενου και του  περιθωρίου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Επαναλαμβανόμενο παρουσιάζεται στον Πίνακα Γ.</w:t>
      </w:r>
    </w:p>
    <w:p w14:paraId="7A00DBDE" w14:textId="77777777" w:rsidR="00D615F9" w:rsidRPr="002B1BE4" w:rsidRDefault="00D615F9" w:rsidP="00D615F9">
      <w:pPr>
        <w:autoSpaceDE w:val="0"/>
        <w:autoSpaceDN w:val="0"/>
        <w:adjustRightInd w:val="0"/>
        <w:jc w:val="both"/>
        <w:rPr>
          <w:rFonts w:ascii="Ping LCG Regular" w:hAnsi="Ping LCG Regular" w:cs="Arial"/>
          <w:b/>
          <w:color w:val="000000"/>
          <w:sz w:val="20"/>
          <w:szCs w:val="20"/>
          <w:lang w:val="el-GR"/>
        </w:rPr>
      </w:pPr>
    </w:p>
    <w:p w14:paraId="064B823E" w14:textId="47649DA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12EF9">
        <w:rPr>
          <w:rFonts w:ascii="Ping LCG Regular" w:hAnsi="Ping LCG Regular" w:cs="Arial"/>
          <w:b/>
          <w:color w:val="000000"/>
          <w:sz w:val="20"/>
          <w:szCs w:val="20"/>
        </w:rPr>
        <w:t>EBIT</w:t>
      </w:r>
      <w:r w:rsidRPr="00D615F9">
        <w:rPr>
          <w:rFonts w:ascii="Ping LCG Regular" w:hAnsi="Ping LCG Regular" w:cs="Arial"/>
          <w:b/>
          <w:color w:val="000000"/>
          <w:sz w:val="20"/>
          <w:szCs w:val="20"/>
          <w:lang w:val="el-GR"/>
        </w:rPr>
        <w:t xml:space="preserve"> (Δείκτης λειτουργικών κερδών πριν από καθαρές χρηματοοικονομικές δαπάνες και φόρους)</w:t>
      </w:r>
    </w:p>
    <w:p w14:paraId="19D04A22"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t xml:space="preserve">Ο δείκτης </w:t>
      </w:r>
      <w:r w:rsidRPr="00D12EF9">
        <w:rPr>
          <w:rFonts w:ascii="Ping LCG Regular" w:hAnsi="Ping LCG Regular" w:cs="Arial"/>
          <w:color w:val="000000"/>
          <w:sz w:val="20"/>
          <w:szCs w:val="20"/>
        </w:rPr>
        <w:t>EBIT</w:t>
      </w:r>
      <w:r w:rsidRPr="00D615F9">
        <w:rPr>
          <w:rFonts w:ascii="Ping LCG Regular" w:hAnsi="Ping LCG Regular" w:cs="Arial"/>
          <w:color w:val="000000"/>
          <w:sz w:val="20"/>
          <w:szCs w:val="20"/>
          <w:lang w:val="el-GR"/>
        </w:rPr>
        <w:t xml:space="preserve"> εξυπηρετεί στην καλύτερη ανάλυση των λειτουργικών αποτελεσμάτων του Ομίλου και υπολογίζεται ως εξής: </w:t>
      </w:r>
      <w:r w:rsidRPr="00D12EF9">
        <w:rPr>
          <w:rFonts w:ascii="Ping LCG Regular" w:hAnsi="Ping LCG Regular" w:cs="Arial"/>
          <w:color w:val="000000"/>
          <w:sz w:val="20"/>
          <w:szCs w:val="20"/>
        </w:rPr>
        <w:t>EBITDA</w:t>
      </w:r>
      <w:r w:rsidRPr="00D615F9">
        <w:rPr>
          <w:rFonts w:ascii="Ping LCG Regular" w:hAnsi="Ping LCG Regular" w:cs="Arial"/>
          <w:color w:val="000000"/>
          <w:sz w:val="20"/>
          <w:szCs w:val="20"/>
          <w:lang w:val="el-GR"/>
        </w:rPr>
        <w:t xml:space="preserve"> (Δείκτης λειτουργικών κερδών πριν από αποσβέσεις και απομειώσεις, καθαρές χρηματοοικονομικές δαπάνες και φόρους) μείον τα ποσά των αποσβέσεων και των τυχόν απομειώσεων. Το περιθώριο </w:t>
      </w:r>
      <w:r w:rsidRPr="00D12EF9">
        <w:rPr>
          <w:rFonts w:ascii="Ping LCG Regular" w:hAnsi="Ping LCG Regular" w:cs="Arial"/>
          <w:color w:val="000000"/>
          <w:sz w:val="20"/>
          <w:szCs w:val="20"/>
        </w:rPr>
        <w:t>EBIT</w:t>
      </w:r>
      <w:r w:rsidRPr="00D615F9">
        <w:rPr>
          <w:rFonts w:ascii="Ping LCG Regular" w:hAnsi="Ping LCG Regular" w:cs="Arial"/>
          <w:color w:val="000000"/>
          <w:sz w:val="20"/>
          <w:szCs w:val="20"/>
          <w:lang w:val="el-GR"/>
        </w:rPr>
        <w:t xml:space="preserve"> (%) υπολογίζεται διαιρώντας το </w:t>
      </w:r>
      <w:r w:rsidRPr="00D12EF9">
        <w:rPr>
          <w:rFonts w:ascii="Ping LCG Regular" w:hAnsi="Ping LCG Regular" w:cs="Arial"/>
          <w:color w:val="000000"/>
          <w:sz w:val="20"/>
          <w:szCs w:val="20"/>
        </w:rPr>
        <w:t>EBIT</w:t>
      </w:r>
      <w:r w:rsidRPr="00D615F9">
        <w:rPr>
          <w:rFonts w:ascii="Ping LCG Regular" w:hAnsi="Ping LCG Regular" w:cs="Arial"/>
          <w:color w:val="000000"/>
          <w:sz w:val="20"/>
          <w:szCs w:val="20"/>
          <w:lang w:val="el-GR"/>
        </w:rPr>
        <w:t xml:space="preserve"> με το σύνολο του κύκλου εργασιών. Ο υπολογισμοί παρουσιάζονται στον Πίνακα Δ.</w:t>
      </w:r>
    </w:p>
    <w:p w14:paraId="66B8CA5F"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p>
    <w:p w14:paraId="5A389E6A" w14:textId="77777777" w:rsidR="00D615F9" w:rsidRPr="00D615F9" w:rsidRDefault="00D615F9" w:rsidP="00D615F9">
      <w:pPr>
        <w:autoSpaceDE w:val="0"/>
        <w:autoSpaceDN w:val="0"/>
        <w:adjustRightInd w:val="0"/>
        <w:jc w:val="both"/>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Καθαρό ποσό Αποσβέσεων Χρηματοοικονομικών Δαπανών και Κερδών από Συγγενείς Επιχειρήσεις.</w:t>
      </w:r>
    </w:p>
    <w:p w14:paraId="492224AB"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r w:rsidRPr="00D615F9">
        <w:rPr>
          <w:rFonts w:ascii="Ping LCG Regular" w:hAnsi="Ping LCG Regular" w:cs="Arial"/>
          <w:color w:val="000000"/>
          <w:sz w:val="20"/>
          <w:szCs w:val="20"/>
          <w:lang w:val="el-GR"/>
        </w:rPr>
        <w:lastRenderedPageBreak/>
        <w:t>Ο Δείκτης αυτός υπολογίζεται ως το συμψηφισμένο καθαρό ποσό των κονδυλίων των αποσβέσεων χρήσης, των καθαρών χρηματοοικονομικών δαπανών και των κερδών / ζημιών από τις συγγενείς επιχειρήσεις του Ομίλου. Οι υπολογισμοί παρουσιάζονται στον Πίνακα Ε.</w:t>
      </w:r>
    </w:p>
    <w:p w14:paraId="3DE59DFF" w14:textId="77777777" w:rsidR="00D615F9" w:rsidRPr="00D615F9" w:rsidRDefault="00D615F9" w:rsidP="00D615F9">
      <w:pPr>
        <w:autoSpaceDE w:val="0"/>
        <w:autoSpaceDN w:val="0"/>
        <w:adjustRightInd w:val="0"/>
        <w:jc w:val="both"/>
        <w:rPr>
          <w:rFonts w:ascii="Ping LCG Regular" w:hAnsi="Ping LCG Regular" w:cs="Arial"/>
          <w:color w:val="000000"/>
          <w:sz w:val="20"/>
          <w:szCs w:val="20"/>
          <w:lang w:val="el-GR"/>
        </w:rPr>
      </w:pPr>
    </w:p>
    <w:p w14:paraId="2CEB0C5D"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r w:rsidRPr="00D615F9">
        <w:rPr>
          <w:rFonts w:ascii="Ping LCG Regular" w:hAnsi="Ping LCG Regular" w:cs="Arial"/>
          <w:b/>
          <w:color w:val="000000"/>
          <w:sz w:val="20"/>
          <w:szCs w:val="20"/>
          <w:lang w:val="el-GR"/>
        </w:rPr>
        <w:t xml:space="preserve">Καθαρός Δανεισμός </w:t>
      </w:r>
    </w:p>
    <w:p w14:paraId="504625A0" w14:textId="77777777" w:rsidR="00D615F9" w:rsidRPr="00D615F9" w:rsidRDefault="00D615F9" w:rsidP="00D615F9">
      <w:pPr>
        <w:autoSpaceDE w:val="0"/>
        <w:autoSpaceDN w:val="0"/>
        <w:adjustRightInd w:val="0"/>
        <w:rPr>
          <w:rFonts w:ascii="Ping LCG Regular" w:hAnsi="Ping LCG Regular" w:cs="Arial"/>
          <w:b/>
          <w:color w:val="000000"/>
          <w:sz w:val="20"/>
          <w:szCs w:val="20"/>
          <w:lang w:val="el-GR"/>
        </w:rPr>
      </w:pPr>
    </w:p>
    <w:p w14:paraId="2E1E3CCC" w14:textId="77777777" w:rsidR="00D615F9" w:rsidRPr="00D12EF9" w:rsidRDefault="00D615F9" w:rsidP="00D615F9">
      <w:pPr>
        <w:autoSpaceDE w:val="0"/>
        <w:autoSpaceDN w:val="0"/>
        <w:adjustRightInd w:val="0"/>
        <w:jc w:val="both"/>
        <w:rPr>
          <w:rFonts w:ascii="Ping LCG Regular" w:hAnsi="Ping LCG Regular" w:cs="Arial"/>
          <w:b/>
          <w:color w:val="000000"/>
          <w:sz w:val="20"/>
          <w:szCs w:val="20"/>
        </w:rPr>
      </w:pPr>
      <w:r w:rsidRPr="00D615F9">
        <w:rPr>
          <w:rFonts w:ascii="Ping LCG Regular" w:hAnsi="Ping LCG Regular" w:cs="Arial"/>
          <w:color w:val="000000"/>
          <w:sz w:val="20"/>
          <w:szCs w:val="20"/>
          <w:lang w:val="el-GR"/>
        </w:rPr>
        <w:t xml:space="preserve">Ο καθαρός δανεισμός είναι ένας ΕΔΜΑ που χρησιμοποιεί η διοίκηση για να αξιολογήσει την κεφαλαιακή διάρθρωση του Ομίλου και την δυνατότητα μόχλευσης. Ο καθαρός δανεισμός υπολογίζεται προσθέτοντας στα μακροπρόθεσμα δάνεια το βραχυπρόθεσμο μέρος μακροπρόθεσμων δανείων και τα βραχυπρόθεσμα δάνεια, αφαιρώντας από το σύνολο τα χρηματικά διαθέσιμα, τις δεσμευμένες καταθέσεις που αφορούν σε δανειακές συμβάσεις και τα χρηματοοικονομικά περιουσιακά στοιχεία επιμετρούμενα στην εύλογη αξία μέσω των συνολικών αποτελεσμάτων και προσθέτοντας το αναπόσβεστο μέρος των εξόδων σύναψης δανείων. </w:t>
      </w:r>
      <w:r w:rsidRPr="00D12EF9">
        <w:rPr>
          <w:rFonts w:ascii="Ping LCG Regular" w:hAnsi="Ping LCG Regular" w:cs="Arial"/>
          <w:color w:val="000000"/>
          <w:sz w:val="20"/>
          <w:szCs w:val="20"/>
        </w:rPr>
        <w:t>Οι υπολογισμοί παρουσιάζονται στον πίνακα ΣΤ.</w:t>
      </w:r>
    </w:p>
    <w:p w14:paraId="590F377F" w14:textId="77777777" w:rsidR="00D615F9" w:rsidRPr="00D12EF9" w:rsidRDefault="00D615F9" w:rsidP="00D615F9">
      <w:pPr>
        <w:autoSpaceDE w:val="0"/>
        <w:autoSpaceDN w:val="0"/>
        <w:adjustRightInd w:val="0"/>
        <w:jc w:val="both"/>
        <w:rPr>
          <w:rFonts w:ascii="Ping LCG Regular" w:hAnsi="Ping LCG Regular" w:cs="Arial"/>
          <w:color w:val="000000"/>
          <w:sz w:val="20"/>
          <w:szCs w:val="20"/>
        </w:rPr>
      </w:pPr>
    </w:p>
    <w:p w14:paraId="0D5EB4E0" w14:textId="77777777" w:rsidR="00D615F9" w:rsidRDefault="00D615F9" w:rsidP="00D615F9">
      <w:pPr>
        <w:rPr>
          <w:rFonts w:ascii="Ping LCG Regular" w:hAnsi="Ping LCG Regular" w:cs="Arial"/>
          <w:sz w:val="20"/>
          <w:szCs w:val="20"/>
        </w:rPr>
      </w:pPr>
    </w:p>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6"/>
        <w:gridCol w:w="1276"/>
        <w:gridCol w:w="1417"/>
        <w:gridCol w:w="1418"/>
        <w:gridCol w:w="1276"/>
      </w:tblGrid>
      <w:tr w:rsidR="00D615F9" w:rsidRPr="00CB062B" w14:paraId="7C95B3CC" w14:textId="77777777" w:rsidTr="00035A93">
        <w:trPr>
          <w:trHeight w:val="788"/>
        </w:trPr>
        <w:tc>
          <w:tcPr>
            <w:tcW w:w="8207" w:type="dxa"/>
            <w:gridSpan w:val="4"/>
            <w:tcBorders>
              <w:top w:val="single" w:sz="12" w:space="0" w:color="auto"/>
              <w:left w:val="single" w:sz="12" w:space="0" w:color="auto"/>
              <w:bottom w:val="single" w:sz="12" w:space="0" w:color="auto"/>
            </w:tcBorders>
            <w:noWrap/>
            <w:hideMark/>
          </w:tcPr>
          <w:p w14:paraId="054DA389" w14:textId="77777777" w:rsidR="00D615F9" w:rsidRPr="00D615F9" w:rsidRDefault="00D615F9" w:rsidP="00035A93">
            <w:pPr>
              <w:rPr>
                <w:rFonts w:ascii="Ping LCG Regular" w:hAnsi="Ping LCG Regular" w:cs="Arial"/>
                <w:b/>
                <w:bCs/>
                <w:sz w:val="20"/>
                <w:szCs w:val="20"/>
                <w:lang w:val="el-GR"/>
              </w:rPr>
            </w:pPr>
            <w:bookmarkStart w:id="15" w:name="_Hlk138936590"/>
            <w:r w:rsidRPr="00D615F9">
              <w:rPr>
                <w:rFonts w:ascii="Ping LCG Regular" w:hAnsi="Ping LCG Regular" w:cs="Arial"/>
                <w:b/>
                <w:bCs/>
                <w:sz w:val="20"/>
                <w:szCs w:val="20"/>
                <w:lang w:val="el-GR"/>
              </w:rPr>
              <w:t xml:space="preserve">ΠΙΝΑΚΑΣ Α - </w:t>
            </w:r>
            <w:r w:rsidRPr="00D12EF9">
              <w:rPr>
                <w:rFonts w:ascii="Ping LCG Regular" w:hAnsi="Ping LCG Regular" w:cs="Arial"/>
                <w:b/>
                <w:bCs/>
                <w:sz w:val="20"/>
                <w:szCs w:val="20"/>
              </w:rPr>
              <w:t>EBITDA</w:t>
            </w:r>
            <w:r w:rsidRPr="00D615F9">
              <w:rPr>
                <w:rFonts w:ascii="Ping LCG Regular" w:hAnsi="Ping LCG Regular" w:cs="Arial"/>
                <w:b/>
                <w:bCs/>
                <w:sz w:val="20"/>
                <w:szCs w:val="20"/>
                <w:lang w:val="el-GR"/>
              </w:rPr>
              <w:t xml:space="preserve"> (Δείκτης λειτουργικών κερδών πριν από αποσβέσεις και απομειώσεις, καθαρές χρηματοοικονομικές δαπάνες και  φόρους) </w:t>
            </w:r>
          </w:p>
        </w:tc>
        <w:tc>
          <w:tcPr>
            <w:tcW w:w="1276" w:type="dxa"/>
            <w:tcBorders>
              <w:top w:val="single" w:sz="12" w:space="0" w:color="auto"/>
              <w:bottom w:val="single" w:sz="12" w:space="0" w:color="auto"/>
              <w:right w:val="single" w:sz="12" w:space="0" w:color="auto"/>
            </w:tcBorders>
            <w:noWrap/>
            <w:hideMark/>
          </w:tcPr>
          <w:p w14:paraId="0E876E0D" w14:textId="77777777" w:rsidR="00D615F9" w:rsidRPr="00D615F9" w:rsidRDefault="00D615F9" w:rsidP="00035A93">
            <w:pPr>
              <w:rPr>
                <w:rFonts w:ascii="Ping LCG Regular" w:hAnsi="Ping LCG Regular" w:cs="Arial"/>
                <w:sz w:val="20"/>
                <w:szCs w:val="20"/>
                <w:lang w:val="el-GR"/>
              </w:rPr>
            </w:pPr>
            <w:r w:rsidRPr="00D12EF9">
              <w:rPr>
                <w:rFonts w:ascii="Ping LCG Regular" w:hAnsi="Ping LCG Regular" w:cs="Arial"/>
                <w:sz w:val="20"/>
                <w:szCs w:val="20"/>
              </w:rPr>
              <w:t> </w:t>
            </w:r>
          </w:p>
        </w:tc>
      </w:tr>
      <w:bookmarkEnd w:id="15"/>
      <w:tr w:rsidR="00D615F9" w:rsidRPr="00D12EF9" w14:paraId="29010140" w14:textId="77777777" w:rsidTr="00035A93">
        <w:trPr>
          <w:trHeight w:val="262"/>
        </w:trPr>
        <w:tc>
          <w:tcPr>
            <w:tcW w:w="4096" w:type="dxa"/>
            <w:tcBorders>
              <w:top w:val="single" w:sz="12" w:space="0" w:color="auto"/>
              <w:left w:val="single" w:sz="12" w:space="0" w:color="auto"/>
            </w:tcBorders>
            <w:noWrap/>
            <w:hideMark/>
          </w:tcPr>
          <w:p w14:paraId="161F9977"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1276" w:type="dxa"/>
            <w:tcBorders>
              <w:top w:val="single" w:sz="12" w:space="0" w:color="auto"/>
            </w:tcBorders>
            <w:noWrap/>
            <w:hideMark/>
          </w:tcPr>
          <w:p w14:paraId="554F238D"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1417" w:type="dxa"/>
            <w:tcBorders>
              <w:top w:val="single" w:sz="12" w:space="0" w:color="auto"/>
            </w:tcBorders>
            <w:noWrap/>
            <w:hideMark/>
          </w:tcPr>
          <w:p w14:paraId="5813B056"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1418" w:type="dxa"/>
            <w:tcBorders>
              <w:top w:val="single" w:sz="12" w:space="0" w:color="auto"/>
            </w:tcBorders>
            <w:noWrap/>
            <w:hideMark/>
          </w:tcPr>
          <w:p w14:paraId="0660C476"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1276" w:type="dxa"/>
            <w:tcBorders>
              <w:top w:val="single" w:sz="12" w:space="0" w:color="auto"/>
              <w:right w:val="single" w:sz="12" w:space="0" w:color="auto"/>
            </w:tcBorders>
            <w:noWrap/>
            <w:hideMark/>
          </w:tcPr>
          <w:p w14:paraId="495DA7F3"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r>
      <w:tr w:rsidR="00D615F9" w:rsidRPr="00D12EF9" w14:paraId="79DF2841" w14:textId="77777777" w:rsidTr="00035A93">
        <w:trPr>
          <w:trHeight w:val="305"/>
        </w:trPr>
        <w:tc>
          <w:tcPr>
            <w:tcW w:w="4096" w:type="dxa"/>
            <w:tcBorders>
              <w:left w:val="single" w:sz="12" w:space="0" w:color="auto"/>
            </w:tcBorders>
            <w:noWrap/>
            <w:hideMark/>
          </w:tcPr>
          <w:p w14:paraId="2699C446"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5387" w:type="dxa"/>
            <w:gridSpan w:val="4"/>
            <w:tcBorders>
              <w:bottom w:val="single" w:sz="12" w:space="0" w:color="auto"/>
              <w:right w:val="single" w:sz="12" w:space="0" w:color="auto"/>
            </w:tcBorders>
            <w:noWrap/>
            <w:hideMark/>
          </w:tcPr>
          <w:p w14:paraId="740B8AF7" w14:textId="77777777" w:rsidR="00D615F9" w:rsidRPr="00D12EF9" w:rsidRDefault="00D615F9" w:rsidP="00035A93">
            <w:pPr>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r>
      <w:tr w:rsidR="00D615F9" w:rsidRPr="00D12EF9" w14:paraId="28C57CB6" w14:textId="77777777" w:rsidTr="004C4F29">
        <w:trPr>
          <w:trHeight w:val="262"/>
        </w:trPr>
        <w:tc>
          <w:tcPr>
            <w:tcW w:w="4096" w:type="dxa"/>
            <w:tcBorders>
              <w:left w:val="single" w:sz="12" w:space="0" w:color="auto"/>
            </w:tcBorders>
            <w:hideMark/>
          </w:tcPr>
          <w:p w14:paraId="01182FA4"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1276" w:type="dxa"/>
            <w:tcBorders>
              <w:top w:val="single" w:sz="12" w:space="0" w:color="auto"/>
              <w:bottom w:val="single" w:sz="12" w:space="0" w:color="auto"/>
            </w:tcBorders>
            <w:vAlign w:val="center"/>
            <w:hideMark/>
          </w:tcPr>
          <w:p w14:paraId="17E85AF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01.01-30.09.2023</w:t>
            </w:r>
          </w:p>
        </w:tc>
        <w:tc>
          <w:tcPr>
            <w:tcW w:w="1417" w:type="dxa"/>
            <w:tcBorders>
              <w:top w:val="single" w:sz="12" w:space="0" w:color="auto"/>
              <w:bottom w:val="single" w:sz="12" w:space="0" w:color="auto"/>
            </w:tcBorders>
            <w:vAlign w:val="center"/>
            <w:hideMark/>
          </w:tcPr>
          <w:p w14:paraId="47F61B3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01.01-30.09.2022</w:t>
            </w:r>
          </w:p>
        </w:tc>
        <w:tc>
          <w:tcPr>
            <w:tcW w:w="1418" w:type="dxa"/>
            <w:tcBorders>
              <w:top w:val="single" w:sz="12" w:space="0" w:color="auto"/>
              <w:bottom w:val="single" w:sz="12" w:space="0" w:color="auto"/>
            </w:tcBorders>
            <w:vAlign w:val="center"/>
            <w:hideMark/>
          </w:tcPr>
          <w:p w14:paraId="477E9A0E"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 xml:space="preserve"> 01.07-30.09.2023</w:t>
            </w:r>
          </w:p>
        </w:tc>
        <w:tc>
          <w:tcPr>
            <w:tcW w:w="1276" w:type="dxa"/>
            <w:tcBorders>
              <w:top w:val="single" w:sz="12" w:space="0" w:color="auto"/>
              <w:bottom w:val="single" w:sz="12" w:space="0" w:color="auto"/>
              <w:right w:val="single" w:sz="12" w:space="0" w:color="auto"/>
            </w:tcBorders>
            <w:vAlign w:val="center"/>
            <w:hideMark/>
          </w:tcPr>
          <w:p w14:paraId="5EE8EC7E"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01.07-30.09.2022</w:t>
            </w:r>
          </w:p>
        </w:tc>
      </w:tr>
      <w:tr w:rsidR="00D615F9" w:rsidRPr="00D12EF9" w14:paraId="0A5F5116" w14:textId="77777777" w:rsidTr="004C4F29">
        <w:trPr>
          <w:trHeight w:val="248"/>
        </w:trPr>
        <w:tc>
          <w:tcPr>
            <w:tcW w:w="4096" w:type="dxa"/>
            <w:tcBorders>
              <w:left w:val="single" w:sz="12" w:space="0" w:color="auto"/>
            </w:tcBorders>
            <w:hideMark/>
          </w:tcPr>
          <w:p w14:paraId="3B4E0AEA"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Κύκλος Εργασιών (1)</w:t>
            </w:r>
          </w:p>
        </w:tc>
        <w:tc>
          <w:tcPr>
            <w:tcW w:w="1276" w:type="dxa"/>
            <w:tcBorders>
              <w:top w:val="single" w:sz="12" w:space="0" w:color="auto"/>
            </w:tcBorders>
            <w:noWrap/>
            <w:vAlign w:val="center"/>
          </w:tcPr>
          <w:p w14:paraId="3C0580B6"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5.523,6</w:t>
            </w:r>
          </w:p>
        </w:tc>
        <w:tc>
          <w:tcPr>
            <w:tcW w:w="1417" w:type="dxa"/>
            <w:tcBorders>
              <w:top w:val="single" w:sz="12" w:space="0" w:color="auto"/>
            </w:tcBorders>
            <w:noWrap/>
            <w:vAlign w:val="center"/>
          </w:tcPr>
          <w:p w14:paraId="3A27877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8.562,8</w:t>
            </w:r>
          </w:p>
        </w:tc>
        <w:tc>
          <w:tcPr>
            <w:tcW w:w="1418" w:type="dxa"/>
            <w:tcBorders>
              <w:top w:val="single" w:sz="12" w:space="0" w:color="auto"/>
            </w:tcBorders>
            <w:noWrap/>
            <w:vAlign w:val="center"/>
          </w:tcPr>
          <w:p w14:paraId="198455F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1.941,6</w:t>
            </w:r>
          </w:p>
        </w:tc>
        <w:tc>
          <w:tcPr>
            <w:tcW w:w="1276" w:type="dxa"/>
            <w:tcBorders>
              <w:top w:val="single" w:sz="12" w:space="0" w:color="auto"/>
              <w:right w:val="single" w:sz="12" w:space="0" w:color="auto"/>
            </w:tcBorders>
            <w:noWrap/>
            <w:vAlign w:val="center"/>
          </w:tcPr>
          <w:p w14:paraId="04E2C2F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4.170,5</w:t>
            </w:r>
          </w:p>
        </w:tc>
      </w:tr>
      <w:tr w:rsidR="00D615F9" w:rsidRPr="00D12EF9" w14:paraId="30F5B7D9" w14:textId="77777777" w:rsidTr="004C4F29">
        <w:trPr>
          <w:trHeight w:val="248"/>
        </w:trPr>
        <w:tc>
          <w:tcPr>
            <w:tcW w:w="4096" w:type="dxa"/>
            <w:tcBorders>
              <w:left w:val="single" w:sz="12" w:space="0" w:color="auto"/>
            </w:tcBorders>
            <w:hideMark/>
          </w:tcPr>
          <w:p w14:paraId="05B65F0F"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μείον :</w:t>
            </w:r>
          </w:p>
        </w:tc>
        <w:tc>
          <w:tcPr>
            <w:tcW w:w="1276" w:type="dxa"/>
            <w:vAlign w:val="center"/>
          </w:tcPr>
          <w:p w14:paraId="4069806A" w14:textId="77777777" w:rsidR="00D615F9" w:rsidRPr="00D12EF9" w:rsidRDefault="00D615F9" w:rsidP="00035A93">
            <w:pPr>
              <w:jc w:val="right"/>
              <w:rPr>
                <w:rFonts w:ascii="Ping LCG Regular" w:hAnsi="Ping LCG Regular" w:cs="Arial"/>
                <w:sz w:val="20"/>
                <w:szCs w:val="20"/>
              </w:rPr>
            </w:pPr>
          </w:p>
        </w:tc>
        <w:tc>
          <w:tcPr>
            <w:tcW w:w="1417" w:type="dxa"/>
            <w:vAlign w:val="center"/>
          </w:tcPr>
          <w:p w14:paraId="2A7044AA" w14:textId="77777777" w:rsidR="00D615F9" w:rsidRPr="00D12EF9" w:rsidRDefault="00D615F9" w:rsidP="00035A93">
            <w:pPr>
              <w:jc w:val="right"/>
              <w:rPr>
                <w:rFonts w:ascii="Ping LCG Regular" w:hAnsi="Ping LCG Regular" w:cs="Arial"/>
                <w:sz w:val="20"/>
                <w:szCs w:val="20"/>
              </w:rPr>
            </w:pPr>
          </w:p>
        </w:tc>
        <w:tc>
          <w:tcPr>
            <w:tcW w:w="1418" w:type="dxa"/>
            <w:vAlign w:val="center"/>
          </w:tcPr>
          <w:p w14:paraId="300705A6" w14:textId="77777777" w:rsidR="00D615F9" w:rsidRPr="00D12EF9" w:rsidRDefault="00D615F9" w:rsidP="00035A93">
            <w:pPr>
              <w:jc w:val="right"/>
              <w:rPr>
                <w:rFonts w:ascii="Ping LCG Regular" w:hAnsi="Ping LCG Regular" w:cs="Arial"/>
                <w:sz w:val="20"/>
                <w:szCs w:val="20"/>
              </w:rPr>
            </w:pPr>
          </w:p>
        </w:tc>
        <w:tc>
          <w:tcPr>
            <w:tcW w:w="1276" w:type="dxa"/>
            <w:tcBorders>
              <w:right w:val="single" w:sz="12" w:space="0" w:color="auto"/>
            </w:tcBorders>
            <w:vAlign w:val="center"/>
          </w:tcPr>
          <w:p w14:paraId="18708D9E" w14:textId="77777777" w:rsidR="00D615F9" w:rsidRPr="00D12EF9" w:rsidRDefault="00D615F9" w:rsidP="00035A93">
            <w:pPr>
              <w:jc w:val="right"/>
              <w:rPr>
                <w:rFonts w:ascii="Ping LCG Regular" w:hAnsi="Ping LCG Regular" w:cs="Arial"/>
                <w:sz w:val="20"/>
                <w:szCs w:val="20"/>
              </w:rPr>
            </w:pPr>
          </w:p>
        </w:tc>
      </w:tr>
      <w:tr w:rsidR="00D615F9" w:rsidRPr="00D12EF9" w14:paraId="42A14D0E" w14:textId="77777777" w:rsidTr="004C4F29">
        <w:trPr>
          <w:trHeight w:val="248"/>
        </w:trPr>
        <w:tc>
          <w:tcPr>
            <w:tcW w:w="4096" w:type="dxa"/>
            <w:tcBorders>
              <w:left w:val="single" w:sz="12" w:space="0" w:color="auto"/>
            </w:tcBorders>
            <w:hideMark/>
          </w:tcPr>
          <w:p w14:paraId="5D9AC451"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Λειτουργικές Δαπάνες προ Αποσβέσεων και Απομειώσεων (2)</w:t>
            </w:r>
          </w:p>
        </w:tc>
        <w:tc>
          <w:tcPr>
            <w:tcW w:w="1276" w:type="dxa"/>
            <w:vAlign w:val="center"/>
          </w:tcPr>
          <w:p w14:paraId="156A3204"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b/>
                <w:bCs/>
                <w:color w:val="000000"/>
                <w:sz w:val="20"/>
                <w:szCs w:val="20"/>
              </w:rPr>
              <w:t>4.608,1</w:t>
            </w:r>
          </w:p>
        </w:tc>
        <w:tc>
          <w:tcPr>
            <w:tcW w:w="1417" w:type="dxa"/>
            <w:tcBorders>
              <w:top w:val="nil"/>
              <w:left w:val="nil"/>
              <w:bottom w:val="nil"/>
              <w:right w:val="nil"/>
            </w:tcBorders>
            <w:shd w:val="clear" w:color="000000" w:fill="FFFFFF"/>
            <w:vAlign w:val="center"/>
          </w:tcPr>
          <w:p w14:paraId="260D8E1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b/>
                <w:bCs/>
                <w:color w:val="000000"/>
                <w:sz w:val="20"/>
                <w:szCs w:val="20"/>
              </w:rPr>
              <w:t>8.194,5</w:t>
            </w:r>
          </w:p>
        </w:tc>
        <w:tc>
          <w:tcPr>
            <w:tcW w:w="1418" w:type="dxa"/>
            <w:tcBorders>
              <w:top w:val="nil"/>
              <w:left w:val="nil"/>
              <w:bottom w:val="nil"/>
              <w:right w:val="nil"/>
            </w:tcBorders>
            <w:shd w:val="clear" w:color="000000" w:fill="FFFFFF"/>
            <w:vAlign w:val="center"/>
          </w:tcPr>
          <w:p w14:paraId="7110922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b/>
                <w:bCs/>
                <w:color w:val="000000"/>
                <w:sz w:val="20"/>
                <w:szCs w:val="20"/>
              </w:rPr>
              <w:t>1.604,3</w:t>
            </w:r>
          </w:p>
        </w:tc>
        <w:tc>
          <w:tcPr>
            <w:tcW w:w="1276" w:type="dxa"/>
            <w:tcBorders>
              <w:top w:val="nil"/>
              <w:left w:val="nil"/>
              <w:bottom w:val="nil"/>
              <w:right w:val="single" w:sz="12" w:space="0" w:color="auto"/>
            </w:tcBorders>
            <w:shd w:val="clear" w:color="000000" w:fill="FFFFFF"/>
            <w:vAlign w:val="center"/>
          </w:tcPr>
          <w:p w14:paraId="23C473F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4.231,6</w:t>
            </w:r>
          </w:p>
        </w:tc>
      </w:tr>
      <w:tr w:rsidR="00D615F9" w:rsidRPr="00D12EF9" w14:paraId="4C800619" w14:textId="77777777" w:rsidTr="004C4F29">
        <w:trPr>
          <w:trHeight w:val="248"/>
        </w:trPr>
        <w:tc>
          <w:tcPr>
            <w:tcW w:w="4096" w:type="dxa"/>
            <w:tcBorders>
              <w:left w:val="single" w:sz="12" w:space="0" w:color="auto"/>
            </w:tcBorders>
            <w:hideMark/>
          </w:tcPr>
          <w:p w14:paraId="4115DDC4"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Αμοιβές προσωπικού</w:t>
            </w:r>
          </w:p>
        </w:tc>
        <w:tc>
          <w:tcPr>
            <w:tcW w:w="1276" w:type="dxa"/>
            <w:noWrap/>
            <w:vAlign w:val="center"/>
          </w:tcPr>
          <w:p w14:paraId="7EE96D3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562,2</w:t>
            </w:r>
          </w:p>
        </w:tc>
        <w:tc>
          <w:tcPr>
            <w:tcW w:w="1417" w:type="dxa"/>
            <w:tcBorders>
              <w:top w:val="nil"/>
              <w:left w:val="nil"/>
              <w:bottom w:val="nil"/>
              <w:right w:val="nil"/>
            </w:tcBorders>
            <w:shd w:val="clear" w:color="000000" w:fill="FFFFFF"/>
            <w:noWrap/>
            <w:vAlign w:val="center"/>
          </w:tcPr>
          <w:p w14:paraId="5C0F959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532,3 </w:t>
            </w:r>
          </w:p>
        </w:tc>
        <w:tc>
          <w:tcPr>
            <w:tcW w:w="1418" w:type="dxa"/>
            <w:tcBorders>
              <w:top w:val="nil"/>
              <w:left w:val="nil"/>
              <w:bottom w:val="nil"/>
              <w:right w:val="nil"/>
            </w:tcBorders>
            <w:shd w:val="clear" w:color="000000" w:fill="FFFFFF"/>
            <w:noWrap/>
            <w:vAlign w:val="center"/>
          </w:tcPr>
          <w:p w14:paraId="5CEBC8E8"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191,4 </w:t>
            </w:r>
          </w:p>
        </w:tc>
        <w:tc>
          <w:tcPr>
            <w:tcW w:w="1276" w:type="dxa"/>
            <w:tcBorders>
              <w:top w:val="nil"/>
              <w:left w:val="nil"/>
              <w:bottom w:val="nil"/>
              <w:right w:val="single" w:sz="12" w:space="0" w:color="auto"/>
            </w:tcBorders>
            <w:shd w:val="clear" w:color="000000" w:fill="FFFFFF"/>
            <w:noWrap/>
            <w:vAlign w:val="center"/>
          </w:tcPr>
          <w:p w14:paraId="5C87457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181,5</w:t>
            </w:r>
          </w:p>
        </w:tc>
      </w:tr>
      <w:tr w:rsidR="00D615F9" w:rsidRPr="00D12EF9" w14:paraId="6F2C3E6B" w14:textId="77777777" w:rsidTr="004C4F29">
        <w:trPr>
          <w:trHeight w:val="248"/>
        </w:trPr>
        <w:tc>
          <w:tcPr>
            <w:tcW w:w="4096" w:type="dxa"/>
            <w:tcBorders>
              <w:left w:val="single" w:sz="12" w:space="0" w:color="auto"/>
            </w:tcBorders>
            <w:hideMark/>
          </w:tcPr>
          <w:p w14:paraId="6676C532"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Λιγνίτης</w:t>
            </w:r>
          </w:p>
        </w:tc>
        <w:tc>
          <w:tcPr>
            <w:tcW w:w="1276" w:type="dxa"/>
            <w:noWrap/>
            <w:vAlign w:val="center"/>
          </w:tcPr>
          <w:p w14:paraId="75780061"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2,8</w:t>
            </w:r>
          </w:p>
        </w:tc>
        <w:tc>
          <w:tcPr>
            <w:tcW w:w="1417" w:type="dxa"/>
            <w:tcBorders>
              <w:top w:val="nil"/>
              <w:left w:val="nil"/>
              <w:bottom w:val="nil"/>
              <w:right w:val="nil"/>
            </w:tcBorders>
            <w:shd w:val="clear" w:color="000000" w:fill="FFFFFF"/>
            <w:noWrap/>
            <w:vAlign w:val="center"/>
          </w:tcPr>
          <w:p w14:paraId="17B374B0"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17,1 </w:t>
            </w:r>
          </w:p>
        </w:tc>
        <w:tc>
          <w:tcPr>
            <w:tcW w:w="1418" w:type="dxa"/>
            <w:tcBorders>
              <w:top w:val="nil"/>
              <w:left w:val="nil"/>
              <w:bottom w:val="nil"/>
              <w:right w:val="nil"/>
            </w:tcBorders>
            <w:shd w:val="clear" w:color="000000" w:fill="FFFFFF"/>
            <w:noWrap/>
            <w:vAlign w:val="center"/>
          </w:tcPr>
          <w:p w14:paraId="5A9049B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9,0 </w:t>
            </w:r>
          </w:p>
        </w:tc>
        <w:tc>
          <w:tcPr>
            <w:tcW w:w="1276" w:type="dxa"/>
            <w:tcBorders>
              <w:top w:val="nil"/>
              <w:left w:val="nil"/>
              <w:bottom w:val="nil"/>
              <w:right w:val="single" w:sz="12" w:space="0" w:color="auto"/>
            </w:tcBorders>
            <w:shd w:val="clear" w:color="000000" w:fill="FFFFFF"/>
            <w:noWrap/>
            <w:vAlign w:val="center"/>
          </w:tcPr>
          <w:p w14:paraId="6C680F9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21,8</w:t>
            </w:r>
          </w:p>
        </w:tc>
      </w:tr>
      <w:tr w:rsidR="00D615F9" w:rsidRPr="00D12EF9" w14:paraId="32EB2F09" w14:textId="77777777" w:rsidTr="004C4F29">
        <w:trPr>
          <w:trHeight w:val="248"/>
        </w:trPr>
        <w:tc>
          <w:tcPr>
            <w:tcW w:w="4096" w:type="dxa"/>
            <w:tcBorders>
              <w:left w:val="single" w:sz="12" w:space="0" w:color="auto"/>
            </w:tcBorders>
            <w:hideMark/>
          </w:tcPr>
          <w:p w14:paraId="0F639239"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Υγρά Καύσιμα</w:t>
            </w:r>
          </w:p>
        </w:tc>
        <w:tc>
          <w:tcPr>
            <w:tcW w:w="1276" w:type="dxa"/>
            <w:noWrap/>
            <w:vAlign w:val="center"/>
          </w:tcPr>
          <w:p w14:paraId="79ED583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573,7</w:t>
            </w:r>
          </w:p>
        </w:tc>
        <w:tc>
          <w:tcPr>
            <w:tcW w:w="1417" w:type="dxa"/>
            <w:tcBorders>
              <w:top w:val="nil"/>
              <w:left w:val="nil"/>
              <w:bottom w:val="nil"/>
              <w:right w:val="nil"/>
            </w:tcBorders>
            <w:shd w:val="clear" w:color="000000" w:fill="FFFFFF"/>
            <w:noWrap/>
            <w:vAlign w:val="center"/>
          </w:tcPr>
          <w:p w14:paraId="215E2913"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636,6 </w:t>
            </w:r>
          </w:p>
        </w:tc>
        <w:tc>
          <w:tcPr>
            <w:tcW w:w="1418" w:type="dxa"/>
            <w:tcBorders>
              <w:top w:val="nil"/>
              <w:left w:val="nil"/>
              <w:bottom w:val="nil"/>
              <w:right w:val="nil"/>
            </w:tcBorders>
            <w:shd w:val="clear" w:color="000000" w:fill="FFFFFF"/>
            <w:noWrap/>
            <w:vAlign w:val="center"/>
          </w:tcPr>
          <w:p w14:paraId="345A7161"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279,0 </w:t>
            </w:r>
          </w:p>
        </w:tc>
        <w:tc>
          <w:tcPr>
            <w:tcW w:w="1276" w:type="dxa"/>
            <w:tcBorders>
              <w:top w:val="nil"/>
              <w:left w:val="nil"/>
              <w:bottom w:val="nil"/>
              <w:right w:val="single" w:sz="12" w:space="0" w:color="auto"/>
            </w:tcBorders>
            <w:shd w:val="clear" w:color="000000" w:fill="FFFFFF"/>
            <w:noWrap/>
            <w:vAlign w:val="center"/>
          </w:tcPr>
          <w:p w14:paraId="0CBC67E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310,1</w:t>
            </w:r>
          </w:p>
        </w:tc>
      </w:tr>
      <w:tr w:rsidR="00D615F9" w:rsidRPr="00D12EF9" w14:paraId="5451CA5F" w14:textId="77777777" w:rsidTr="004C4F29">
        <w:trPr>
          <w:trHeight w:val="234"/>
        </w:trPr>
        <w:tc>
          <w:tcPr>
            <w:tcW w:w="4096" w:type="dxa"/>
            <w:tcBorders>
              <w:left w:val="single" w:sz="12" w:space="0" w:color="auto"/>
            </w:tcBorders>
            <w:hideMark/>
          </w:tcPr>
          <w:p w14:paraId="03783A80"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Φυσικό Αέριο</w:t>
            </w:r>
          </w:p>
        </w:tc>
        <w:tc>
          <w:tcPr>
            <w:tcW w:w="1276" w:type="dxa"/>
            <w:tcBorders>
              <w:top w:val="nil"/>
              <w:left w:val="nil"/>
              <w:bottom w:val="nil"/>
              <w:right w:val="nil"/>
            </w:tcBorders>
            <w:shd w:val="clear" w:color="000000" w:fill="FFFFFF"/>
            <w:noWrap/>
            <w:vAlign w:val="center"/>
          </w:tcPr>
          <w:p w14:paraId="3668E5E4"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530,8</w:t>
            </w:r>
          </w:p>
        </w:tc>
        <w:tc>
          <w:tcPr>
            <w:tcW w:w="1417" w:type="dxa"/>
            <w:tcBorders>
              <w:top w:val="nil"/>
              <w:left w:val="nil"/>
              <w:bottom w:val="nil"/>
              <w:right w:val="nil"/>
            </w:tcBorders>
            <w:shd w:val="clear" w:color="000000" w:fill="FFFFFF"/>
            <w:noWrap/>
            <w:vAlign w:val="center"/>
          </w:tcPr>
          <w:p w14:paraId="714827C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1.388,1 </w:t>
            </w:r>
          </w:p>
        </w:tc>
        <w:tc>
          <w:tcPr>
            <w:tcW w:w="1418" w:type="dxa"/>
            <w:tcBorders>
              <w:top w:val="nil"/>
              <w:left w:val="nil"/>
              <w:bottom w:val="nil"/>
              <w:right w:val="nil"/>
            </w:tcBorders>
            <w:shd w:val="clear" w:color="000000" w:fill="FFFFFF"/>
            <w:noWrap/>
            <w:vAlign w:val="center"/>
          </w:tcPr>
          <w:p w14:paraId="782BEAB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176,1 </w:t>
            </w:r>
          </w:p>
        </w:tc>
        <w:tc>
          <w:tcPr>
            <w:tcW w:w="1276" w:type="dxa"/>
            <w:tcBorders>
              <w:top w:val="nil"/>
              <w:left w:val="nil"/>
              <w:bottom w:val="nil"/>
              <w:right w:val="single" w:sz="12" w:space="0" w:color="auto"/>
            </w:tcBorders>
            <w:shd w:val="clear" w:color="000000" w:fill="FFFFFF"/>
            <w:noWrap/>
            <w:vAlign w:val="center"/>
          </w:tcPr>
          <w:p w14:paraId="47D86970"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709,8</w:t>
            </w:r>
          </w:p>
        </w:tc>
      </w:tr>
      <w:tr w:rsidR="00D615F9" w:rsidRPr="00D12EF9" w14:paraId="5C24BA4C" w14:textId="77777777" w:rsidTr="004C4F29">
        <w:trPr>
          <w:trHeight w:val="248"/>
        </w:trPr>
        <w:tc>
          <w:tcPr>
            <w:tcW w:w="4096" w:type="dxa"/>
            <w:tcBorders>
              <w:left w:val="single" w:sz="12" w:space="0" w:color="auto"/>
            </w:tcBorders>
            <w:hideMark/>
          </w:tcPr>
          <w:p w14:paraId="60CD92CC"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Αγορές ηλεκτρικής ενέργειας</w:t>
            </w:r>
          </w:p>
        </w:tc>
        <w:tc>
          <w:tcPr>
            <w:tcW w:w="1276" w:type="dxa"/>
            <w:tcBorders>
              <w:top w:val="nil"/>
              <w:left w:val="nil"/>
              <w:bottom w:val="nil"/>
              <w:right w:val="nil"/>
            </w:tcBorders>
            <w:shd w:val="clear" w:color="000000" w:fill="FFFFFF"/>
            <w:noWrap/>
            <w:vAlign w:val="center"/>
          </w:tcPr>
          <w:p w14:paraId="498598B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1.501,5</w:t>
            </w:r>
          </w:p>
        </w:tc>
        <w:tc>
          <w:tcPr>
            <w:tcW w:w="1417" w:type="dxa"/>
            <w:tcBorders>
              <w:top w:val="nil"/>
              <w:left w:val="nil"/>
              <w:bottom w:val="nil"/>
              <w:right w:val="nil"/>
            </w:tcBorders>
            <w:shd w:val="clear" w:color="000000" w:fill="FFFFFF"/>
            <w:noWrap/>
            <w:vAlign w:val="center"/>
          </w:tcPr>
          <w:p w14:paraId="254080F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3.613,8 </w:t>
            </w:r>
          </w:p>
        </w:tc>
        <w:tc>
          <w:tcPr>
            <w:tcW w:w="1418" w:type="dxa"/>
            <w:tcBorders>
              <w:top w:val="nil"/>
              <w:left w:val="nil"/>
              <w:bottom w:val="nil"/>
              <w:right w:val="nil"/>
            </w:tcBorders>
            <w:shd w:val="clear" w:color="000000" w:fill="FFFFFF"/>
            <w:noWrap/>
            <w:vAlign w:val="center"/>
          </w:tcPr>
          <w:p w14:paraId="369F7CEF" w14:textId="0DFFC970"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413,2 </w:t>
            </w:r>
          </w:p>
        </w:tc>
        <w:tc>
          <w:tcPr>
            <w:tcW w:w="1276" w:type="dxa"/>
            <w:tcBorders>
              <w:top w:val="nil"/>
              <w:left w:val="nil"/>
              <w:bottom w:val="nil"/>
              <w:right w:val="single" w:sz="12" w:space="0" w:color="auto"/>
            </w:tcBorders>
            <w:shd w:val="clear" w:color="000000" w:fill="FFFFFF"/>
            <w:noWrap/>
            <w:vAlign w:val="center"/>
          </w:tcPr>
          <w:p w14:paraId="1F88BF6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1.868,0</w:t>
            </w:r>
          </w:p>
        </w:tc>
      </w:tr>
      <w:tr w:rsidR="00D615F9" w:rsidRPr="00D12EF9" w14:paraId="7DAFBE5B" w14:textId="77777777" w:rsidTr="004C4F29">
        <w:trPr>
          <w:trHeight w:val="248"/>
        </w:trPr>
        <w:tc>
          <w:tcPr>
            <w:tcW w:w="4096" w:type="dxa"/>
            <w:tcBorders>
              <w:left w:val="single" w:sz="12" w:space="0" w:color="auto"/>
            </w:tcBorders>
            <w:hideMark/>
          </w:tcPr>
          <w:p w14:paraId="080BDF90"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Υλικά και αναλώσιμα</w:t>
            </w:r>
          </w:p>
        </w:tc>
        <w:tc>
          <w:tcPr>
            <w:tcW w:w="1276" w:type="dxa"/>
            <w:tcBorders>
              <w:top w:val="nil"/>
              <w:left w:val="nil"/>
              <w:bottom w:val="nil"/>
              <w:right w:val="nil"/>
            </w:tcBorders>
            <w:shd w:val="clear" w:color="000000" w:fill="FFFFFF"/>
            <w:noWrap/>
            <w:vAlign w:val="center"/>
          </w:tcPr>
          <w:p w14:paraId="4A8C44A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70,4</w:t>
            </w:r>
          </w:p>
        </w:tc>
        <w:tc>
          <w:tcPr>
            <w:tcW w:w="1417" w:type="dxa"/>
            <w:tcBorders>
              <w:top w:val="nil"/>
              <w:left w:val="nil"/>
              <w:bottom w:val="nil"/>
              <w:right w:val="nil"/>
            </w:tcBorders>
            <w:shd w:val="clear" w:color="000000" w:fill="FFFFFF"/>
            <w:noWrap/>
            <w:vAlign w:val="center"/>
          </w:tcPr>
          <w:p w14:paraId="023243A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90,3 </w:t>
            </w:r>
          </w:p>
        </w:tc>
        <w:tc>
          <w:tcPr>
            <w:tcW w:w="1418" w:type="dxa"/>
            <w:tcBorders>
              <w:top w:val="nil"/>
              <w:left w:val="nil"/>
              <w:bottom w:val="nil"/>
              <w:right w:val="nil"/>
            </w:tcBorders>
            <w:shd w:val="clear" w:color="000000" w:fill="FFFFFF"/>
            <w:noWrap/>
            <w:vAlign w:val="center"/>
          </w:tcPr>
          <w:p w14:paraId="5D5A7C71" w14:textId="3B6CD9D5"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20,6 </w:t>
            </w:r>
          </w:p>
        </w:tc>
        <w:tc>
          <w:tcPr>
            <w:tcW w:w="1276" w:type="dxa"/>
            <w:tcBorders>
              <w:top w:val="nil"/>
              <w:left w:val="nil"/>
              <w:bottom w:val="nil"/>
              <w:right w:val="single" w:sz="12" w:space="0" w:color="auto"/>
            </w:tcBorders>
            <w:shd w:val="clear" w:color="000000" w:fill="FFFFFF"/>
            <w:noWrap/>
            <w:vAlign w:val="center"/>
          </w:tcPr>
          <w:p w14:paraId="7364D0E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31,4</w:t>
            </w:r>
          </w:p>
        </w:tc>
      </w:tr>
      <w:tr w:rsidR="00D615F9" w:rsidRPr="00D12EF9" w14:paraId="7B2F59D7" w14:textId="77777777" w:rsidTr="004C4F29">
        <w:trPr>
          <w:trHeight w:val="248"/>
        </w:trPr>
        <w:tc>
          <w:tcPr>
            <w:tcW w:w="4096" w:type="dxa"/>
            <w:tcBorders>
              <w:left w:val="single" w:sz="12" w:space="0" w:color="auto"/>
            </w:tcBorders>
            <w:hideMark/>
          </w:tcPr>
          <w:p w14:paraId="5A2693FB" w14:textId="77777777" w:rsidR="00D615F9" w:rsidRPr="00D615F9" w:rsidRDefault="00D615F9" w:rsidP="00035A93">
            <w:pPr>
              <w:rPr>
                <w:rFonts w:ascii="Ping LCG Regular" w:hAnsi="Ping LCG Regular" w:cs="Arial"/>
                <w:sz w:val="20"/>
                <w:szCs w:val="20"/>
                <w:lang w:val="el-GR"/>
              </w:rPr>
            </w:pPr>
            <w:r w:rsidRPr="00D615F9">
              <w:rPr>
                <w:rFonts w:ascii="Ping LCG Regular" w:hAnsi="Ping LCG Regular" w:cs="Arial"/>
                <w:sz w:val="20"/>
                <w:szCs w:val="20"/>
                <w:lang w:val="el-GR"/>
              </w:rPr>
              <w:t>Τέλη πρόσβασης και χρήσης δικτύου μεταφοράς</w:t>
            </w:r>
          </w:p>
        </w:tc>
        <w:tc>
          <w:tcPr>
            <w:tcW w:w="1276" w:type="dxa"/>
            <w:tcBorders>
              <w:top w:val="nil"/>
              <w:left w:val="nil"/>
              <w:bottom w:val="nil"/>
              <w:right w:val="nil"/>
            </w:tcBorders>
            <w:shd w:val="clear" w:color="000000" w:fill="FFFFFF"/>
            <w:noWrap/>
            <w:vAlign w:val="center"/>
          </w:tcPr>
          <w:p w14:paraId="1507E5D1"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126,8</w:t>
            </w:r>
          </w:p>
        </w:tc>
        <w:tc>
          <w:tcPr>
            <w:tcW w:w="1417" w:type="dxa"/>
            <w:tcBorders>
              <w:top w:val="nil"/>
              <w:left w:val="nil"/>
              <w:bottom w:val="nil"/>
              <w:right w:val="nil"/>
            </w:tcBorders>
            <w:shd w:val="clear" w:color="000000" w:fill="FFFFFF"/>
            <w:noWrap/>
            <w:vAlign w:val="center"/>
          </w:tcPr>
          <w:p w14:paraId="6B08506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101,5 </w:t>
            </w:r>
          </w:p>
        </w:tc>
        <w:tc>
          <w:tcPr>
            <w:tcW w:w="1418" w:type="dxa"/>
            <w:tcBorders>
              <w:top w:val="nil"/>
              <w:left w:val="nil"/>
              <w:bottom w:val="nil"/>
              <w:right w:val="nil"/>
            </w:tcBorders>
            <w:shd w:val="clear" w:color="000000" w:fill="FFFFFF"/>
            <w:noWrap/>
            <w:vAlign w:val="center"/>
          </w:tcPr>
          <w:p w14:paraId="39015237" w14:textId="79583009"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43,4 </w:t>
            </w:r>
          </w:p>
        </w:tc>
        <w:tc>
          <w:tcPr>
            <w:tcW w:w="1276" w:type="dxa"/>
            <w:tcBorders>
              <w:top w:val="nil"/>
              <w:left w:val="nil"/>
              <w:bottom w:val="nil"/>
              <w:right w:val="single" w:sz="12" w:space="0" w:color="auto"/>
            </w:tcBorders>
            <w:shd w:val="clear" w:color="000000" w:fill="FFFFFF"/>
            <w:noWrap/>
            <w:vAlign w:val="center"/>
          </w:tcPr>
          <w:p w14:paraId="02BBD6E2" w14:textId="77777777" w:rsidR="00D615F9" w:rsidRPr="00D12EF9" w:rsidRDefault="00D615F9" w:rsidP="00D615F9">
            <w:pPr>
              <w:jc w:val="right"/>
              <w:rPr>
                <w:rFonts w:ascii="Ping LCG Regular" w:hAnsi="Ping LCG Regular" w:cs="Arial"/>
                <w:sz w:val="20"/>
                <w:szCs w:val="20"/>
              </w:rPr>
            </w:pPr>
            <w:r w:rsidRPr="00D12EF9">
              <w:rPr>
                <w:rFonts w:ascii="Ping LCG Regular" w:hAnsi="Ping LCG Regular" w:cs="Arial"/>
                <w:sz w:val="20"/>
                <w:szCs w:val="20"/>
              </w:rPr>
              <w:t>33,4</w:t>
            </w:r>
          </w:p>
        </w:tc>
      </w:tr>
      <w:tr w:rsidR="00D615F9" w:rsidRPr="00D12EF9" w14:paraId="3CFB4025" w14:textId="77777777" w:rsidTr="004C4F29">
        <w:trPr>
          <w:trHeight w:val="248"/>
        </w:trPr>
        <w:tc>
          <w:tcPr>
            <w:tcW w:w="4096" w:type="dxa"/>
            <w:tcBorders>
              <w:left w:val="single" w:sz="12" w:space="0" w:color="auto"/>
            </w:tcBorders>
            <w:hideMark/>
          </w:tcPr>
          <w:p w14:paraId="629680B8"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Τέλη Διανομής</w:t>
            </w:r>
          </w:p>
        </w:tc>
        <w:tc>
          <w:tcPr>
            <w:tcW w:w="1276" w:type="dxa"/>
            <w:noWrap/>
            <w:vAlign w:val="center"/>
          </w:tcPr>
          <w:p w14:paraId="42D50E1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417" w:type="dxa"/>
            <w:tcBorders>
              <w:top w:val="nil"/>
              <w:left w:val="nil"/>
              <w:bottom w:val="nil"/>
              <w:right w:val="nil"/>
            </w:tcBorders>
            <w:shd w:val="clear" w:color="000000" w:fill="FFFFFF"/>
            <w:noWrap/>
            <w:vAlign w:val="center"/>
          </w:tcPr>
          <w:p w14:paraId="028ACD9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w:t>
            </w:r>
          </w:p>
        </w:tc>
        <w:tc>
          <w:tcPr>
            <w:tcW w:w="1418" w:type="dxa"/>
            <w:tcBorders>
              <w:top w:val="nil"/>
              <w:left w:val="nil"/>
              <w:bottom w:val="nil"/>
              <w:right w:val="nil"/>
            </w:tcBorders>
            <w:shd w:val="clear" w:color="000000" w:fill="FFFFFF"/>
            <w:noWrap/>
            <w:vAlign w:val="center"/>
          </w:tcPr>
          <w:p w14:paraId="21FD1084"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w:t>
            </w:r>
          </w:p>
        </w:tc>
        <w:tc>
          <w:tcPr>
            <w:tcW w:w="1276" w:type="dxa"/>
            <w:tcBorders>
              <w:right w:val="single" w:sz="12" w:space="0" w:color="auto"/>
            </w:tcBorders>
            <w:noWrap/>
            <w:vAlign w:val="center"/>
          </w:tcPr>
          <w:p w14:paraId="046F4D7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r>
      <w:tr w:rsidR="00D615F9" w:rsidRPr="00D12EF9" w14:paraId="68E1FBD8" w14:textId="77777777" w:rsidTr="004C4F29">
        <w:trPr>
          <w:trHeight w:val="248"/>
        </w:trPr>
        <w:tc>
          <w:tcPr>
            <w:tcW w:w="4096" w:type="dxa"/>
            <w:tcBorders>
              <w:left w:val="single" w:sz="12" w:space="0" w:color="auto"/>
            </w:tcBorders>
            <w:hideMark/>
          </w:tcPr>
          <w:p w14:paraId="0DD89F97"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Συντηρήσεις και παροχές τρίτων</w:t>
            </w:r>
          </w:p>
        </w:tc>
        <w:tc>
          <w:tcPr>
            <w:tcW w:w="1276" w:type="dxa"/>
            <w:tcBorders>
              <w:top w:val="nil"/>
              <w:left w:val="nil"/>
              <w:bottom w:val="nil"/>
              <w:right w:val="nil"/>
            </w:tcBorders>
            <w:shd w:val="clear" w:color="000000" w:fill="FFFFFF"/>
            <w:noWrap/>
            <w:vAlign w:val="center"/>
          </w:tcPr>
          <w:p w14:paraId="4A6F16A8"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180,9</w:t>
            </w:r>
          </w:p>
        </w:tc>
        <w:tc>
          <w:tcPr>
            <w:tcW w:w="1417" w:type="dxa"/>
            <w:tcBorders>
              <w:top w:val="nil"/>
              <w:left w:val="nil"/>
              <w:bottom w:val="nil"/>
              <w:right w:val="nil"/>
            </w:tcBorders>
            <w:shd w:val="clear" w:color="000000" w:fill="FFFFFF"/>
            <w:noWrap/>
            <w:vAlign w:val="center"/>
          </w:tcPr>
          <w:p w14:paraId="22C50AB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147,4 </w:t>
            </w:r>
          </w:p>
        </w:tc>
        <w:tc>
          <w:tcPr>
            <w:tcW w:w="1418" w:type="dxa"/>
            <w:tcBorders>
              <w:top w:val="nil"/>
              <w:left w:val="nil"/>
              <w:bottom w:val="nil"/>
              <w:right w:val="nil"/>
            </w:tcBorders>
            <w:shd w:val="clear" w:color="000000" w:fill="FFFFFF"/>
            <w:noWrap/>
            <w:vAlign w:val="center"/>
          </w:tcPr>
          <w:p w14:paraId="7C38E698" w14:textId="77F8C070"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67,7 </w:t>
            </w:r>
          </w:p>
        </w:tc>
        <w:tc>
          <w:tcPr>
            <w:tcW w:w="1276" w:type="dxa"/>
            <w:tcBorders>
              <w:top w:val="nil"/>
              <w:left w:val="nil"/>
              <w:bottom w:val="nil"/>
              <w:right w:val="single" w:sz="12" w:space="0" w:color="auto"/>
            </w:tcBorders>
            <w:shd w:val="clear" w:color="000000" w:fill="FFFFFF"/>
            <w:noWrap/>
            <w:vAlign w:val="center"/>
          </w:tcPr>
          <w:p w14:paraId="2DF34670"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53,2</w:t>
            </w:r>
          </w:p>
        </w:tc>
      </w:tr>
      <w:tr w:rsidR="00D615F9" w:rsidRPr="00D12EF9" w14:paraId="0F182ACD" w14:textId="77777777" w:rsidTr="004C4F29">
        <w:trPr>
          <w:trHeight w:val="249"/>
        </w:trPr>
        <w:tc>
          <w:tcPr>
            <w:tcW w:w="4096" w:type="dxa"/>
            <w:tcBorders>
              <w:left w:val="single" w:sz="12" w:space="0" w:color="auto"/>
            </w:tcBorders>
            <w:hideMark/>
          </w:tcPr>
          <w:p w14:paraId="40878069"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Αμοιβές τρίτων</w:t>
            </w:r>
          </w:p>
        </w:tc>
        <w:tc>
          <w:tcPr>
            <w:tcW w:w="1276" w:type="dxa"/>
            <w:tcBorders>
              <w:top w:val="nil"/>
              <w:left w:val="nil"/>
              <w:bottom w:val="nil"/>
              <w:right w:val="nil"/>
            </w:tcBorders>
            <w:shd w:val="clear" w:color="000000" w:fill="FFFFFF"/>
            <w:noWrap/>
            <w:vAlign w:val="center"/>
          </w:tcPr>
          <w:p w14:paraId="2956080C"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167,1</w:t>
            </w:r>
          </w:p>
        </w:tc>
        <w:tc>
          <w:tcPr>
            <w:tcW w:w="1417" w:type="dxa"/>
            <w:tcBorders>
              <w:top w:val="nil"/>
              <w:left w:val="nil"/>
              <w:bottom w:val="nil"/>
              <w:right w:val="nil"/>
            </w:tcBorders>
            <w:shd w:val="clear" w:color="000000" w:fill="FFFFFF"/>
            <w:noWrap/>
            <w:vAlign w:val="center"/>
          </w:tcPr>
          <w:p w14:paraId="647F8E4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113,3 </w:t>
            </w:r>
          </w:p>
        </w:tc>
        <w:tc>
          <w:tcPr>
            <w:tcW w:w="1418" w:type="dxa"/>
            <w:tcBorders>
              <w:top w:val="nil"/>
              <w:left w:val="nil"/>
              <w:bottom w:val="nil"/>
              <w:right w:val="nil"/>
            </w:tcBorders>
            <w:shd w:val="clear" w:color="000000" w:fill="FFFFFF"/>
            <w:noWrap/>
            <w:vAlign w:val="center"/>
          </w:tcPr>
          <w:p w14:paraId="0C81EC13"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62,1 </w:t>
            </w:r>
          </w:p>
        </w:tc>
        <w:tc>
          <w:tcPr>
            <w:tcW w:w="1276" w:type="dxa"/>
            <w:tcBorders>
              <w:top w:val="nil"/>
              <w:left w:val="nil"/>
              <w:bottom w:val="nil"/>
              <w:right w:val="single" w:sz="12" w:space="0" w:color="auto"/>
            </w:tcBorders>
            <w:shd w:val="clear" w:color="000000" w:fill="FFFFFF"/>
            <w:noWrap/>
            <w:vAlign w:val="center"/>
          </w:tcPr>
          <w:p w14:paraId="6F4A43C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43,0</w:t>
            </w:r>
          </w:p>
        </w:tc>
      </w:tr>
      <w:tr w:rsidR="00D615F9" w:rsidRPr="00D12EF9" w14:paraId="74CE84D9" w14:textId="77777777" w:rsidTr="004C4F29">
        <w:trPr>
          <w:trHeight w:val="248"/>
        </w:trPr>
        <w:tc>
          <w:tcPr>
            <w:tcW w:w="4096" w:type="dxa"/>
            <w:tcBorders>
              <w:left w:val="single" w:sz="12" w:space="0" w:color="auto"/>
            </w:tcBorders>
            <w:hideMark/>
          </w:tcPr>
          <w:p w14:paraId="2D2EC2C8"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Δικαιώματα εκπομπών αερίων</w:t>
            </w:r>
          </w:p>
        </w:tc>
        <w:tc>
          <w:tcPr>
            <w:tcW w:w="1276" w:type="dxa"/>
            <w:tcBorders>
              <w:top w:val="nil"/>
              <w:left w:val="nil"/>
              <w:bottom w:val="nil"/>
              <w:right w:val="nil"/>
            </w:tcBorders>
            <w:shd w:val="clear" w:color="000000" w:fill="FFFFFF"/>
            <w:noWrap/>
            <w:vAlign w:val="center"/>
          </w:tcPr>
          <w:p w14:paraId="75F330F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624,9</w:t>
            </w:r>
          </w:p>
        </w:tc>
        <w:tc>
          <w:tcPr>
            <w:tcW w:w="1417" w:type="dxa"/>
            <w:tcBorders>
              <w:top w:val="nil"/>
              <w:left w:val="nil"/>
              <w:bottom w:val="nil"/>
              <w:right w:val="nil"/>
            </w:tcBorders>
            <w:shd w:val="clear" w:color="000000" w:fill="FFFFFF"/>
            <w:noWrap/>
            <w:vAlign w:val="center"/>
          </w:tcPr>
          <w:p w14:paraId="0DAB854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851,7 </w:t>
            </w:r>
          </w:p>
        </w:tc>
        <w:tc>
          <w:tcPr>
            <w:tcW w:w="1418" w:type="dxa"/>
            <w:tcBorders>
              <w:top w:val="nil"/>
              <w:left w:val="nil"/>
              <w:bottom w:val="nil"/>
              <w:right w:val="nil"/>
            </w:tcBorders>
            <w:shd w:val="clear" w:color="000000" w:fill="FFFFFF"/>
            <w:noWrap/>
            <w:vAlign w:val="center"/>
          </w:tcPr>
          <w:p w14:paraId="082491C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230,5 </w:t>
            </w:r>
          </w:p>
        </w:tc>
        <w:tc>
          <w:tcPr>
            <w:tcW w:w="1276" w:type="dxa"/>
            <w:tcBorders>
              <w:top w:val="nil"/>
              <w:left w:val="nil"/>
              <w:bottom w:val="nil"/>
              <w:right w:val="single" w:sz="12" w:space="0" w:color="auto"/>
            </w:tcBorders>
            <w:shd w:val="clear" w:color="000000" w:fill="FFFFFF"/>
            <w:noWrap/>
            <w:vAlign w:val="center"/>
          </w:tcPr>
          <w:p w14:paraId="7DF9D788"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374,9</w:t>
            </w:r>
          </w:p>
        </w:tc>
      </w:tr>
      <w:tr w:rsidR="00D615F9" w:rsidRPr="00D12EF9" w14:paraId="18399EC0" w14:textId="77777777" w:rsidTr="004C4F29">
        <w:trPr>
          <w:trHeight w:val="248"/>
        </w:trPr>
        <w:tc>
          <w:tcPr>
            <w:tcW w:w="4096" w:type="dxa"/>
            <w:tcBorders>
              <w:left w:val="single" w:sz="12" w:space="0" w:color="auto"/>
            </w:tcBorders>
            <w:hideMark/>
          </w:tcPr>
          <w:p w14:paraId="31CB7032"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Προβλέψεις για κινδύνους</w:t>
            </w:r>
          </w:p>
        </w:tc>
        <w:tc>
          <w:tcPr>
            <w:tcW w:w="1276" w:type="dxa"/>
            <w:tcBorders>
              <w:top w:val="nil"/>
              <w:left w:val="nil"/>
              <w:bottom w:val="nil"/>
              <w:right w:val="nil"/>
            </w:tcBorders>
            <w:shd w:val="clear" w:color="000000" w:fill="FFFFFF"/>
            <w:noWrap/>
            <w:vAlign w:val="center"/>
          </w:tcPr>
          <w:p w14:paraId="649BEF4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6,3</w:t>
            </w:r>
          </w:p>
        </w:tc>
        <w:tc>
          <w:tcPr>
            <w:tcW w:w="1417" w:type="dxa"/>
            <w:tcBorders>
              <w:top w:val="nil"/>
              <w:left w:val="nil"/>
              <w:bottom w:val="nil"/>
              <w:right w:val="nil"/>
            </w:tcBorders>
            <w:shd w:val="clear" w:color="000000" w:fill="FFFFFF"/>
            <w:noWrap/>
            <w:vAlign w:val="center"/>
          </w:tcPr>
          <w:p w14:paraId="4D374AB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(12,5)</w:t>
            </w:r>
          </w:p>
        </w:tc>
        <w:tc>
          <w:tcPr>
            <w:tcW w:w="1418" w:type="dxa"/>
            <w:tcBorders>
              <w:top w:val="nil"/>
              <w:left w:val="nil"/>
              <w:bottom w:val="nil"/>
              <w:right w:val="nil"/>
            </w:tcBorders>
            <w:shd w:val="clear" w:color="000000" w:fill="FFFFFF"/>
            <w:noWrap/>
            <w:vAlign w:val="center"/>
          </w:tcPr>
          <w:p w14:paraId="5D3A12BD" w14:textId="7749B562"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(0,8)</w:t>
            </w:r>
          </w:p>
        </w:tc>
        <w:tc>
          <w:tcPr>
            <w:tcW w:w="1276" w:type="dxa"/>
            <w:tcBorders>
              <w:top w:val="nil"/>
              <w:left w:val="nil"/>
              <w:bottom w:val="nil"/>
              <w:right w:val="single" w:sz="12" w:space="0" w:color="auto"/>
            </w:tcBorders>
            <w:shd w:val="clear" w:color="000000" w:fill="FFFFFF"/>
            <w:noWrap/>
            <w:vAlign w:val="center"/>
          </w:tcPr>
          <w:p w14:paraId="17EDC8B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5,3</w:t>
            </w:r>
          </w:p>
        </w:tc>
      </w:tr>
      <w:tr w:rsidR="00D615F9" w:rsidRPr="00D12EF9" w14:paraId="2EEF1A6D" w14:textId="77777777" w:rsidTr="004C4F29">
        <w:trPr>
          <w:trHeight w:val="248"/>
        </w:trPr>
        <w:tc>
          <w:tcPr>
            <w:tcW w:w="4096" w:type="dxa"/>
            <w:tcBorders>
              <w:left w:val="single" w:sz="12" w:space="0" w:color="auto"/>
            </w:tcBorders>
            <w:hideMark/>
          </w:tcPr>
          <w:p w14:paraId="758BDACD"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Προβλέψεις απομείωσης αξίας υλικών</w:t>
            </w:r>
          </w:p>
        </w:tc>
        <w:tc>
          <w:tcPr>
            <w:tcW w:w="1276" w:type="dxa"/>
            <w:tcBorders>
              <w:top w:val="nil"/>
              <w:left w:val="nil"/>
              <w:bottom w:val="nil"/>
              <w:right w:val="nil"/>
            </w:tcBorders>
            <w:shd w:val="clear" w:color="000000" w:fill="FFFFFF"/>
            <w:noWrap/>
            <w:vAlign w:val="center"/>
          </w:tcPr>
          <w:p w14:paraId="1155ED60"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11,4</w:t>
            </w:r>
          </w:p>
        </w:tc>
        <w:tc>
          <w:tcPr>
            <w:tcW w:w="1417" w:type="dxa"/>
            <w:tcBorders>
              <w:top w:val="nil"/>
              <w:left w:val="nil"/>
              <w:bottom w:val="nil"/>
              <w:right w:val="nil"/>
            </w:tcBorders>
            <w:shd w:val="clear" w:color="000000" w:fill="FFFFFF"/>
            <w:noWrap/>
            <w:vAlign w:val="center"/>
          </w:tcPr>
          <w:p w14:paraId="28803BF1"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3,6 </w:t>
            </w:r>
          </w:p>
        </w:tc>
        <w:tc>
          <w:tcPr>
            <w:tcW w:w="1418" w:type="dxa"/>
            <w:tcBorders>
              <w:top w:val="nil"/>
              <w:left w:val="nil"/>
              <w:bottom w:val="nil"/>
              <w:right w:val="nil"/>
            </w:tcBorders>
            <w:shd w:val="clear" w:color="000000" w:fill="FFFFFF"/>
            <w:noWrap/>
            <w:vAlign w:val="center"/>
          </w:tcPr>
          <w:p w14:paraId="5A884BA4"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8,5 </w:t>
            </w:r>
          </w:p>
        </w:tc>
        <w:tc>
          <w:tcPr>
            <w:tcW w:w="1276" w:type="dxa"/>
            <w:tcBorders>
              <w:top w:val="nil"/>
              <w:left w:val="nil"/>
              <w:bottom w:val="nil"/>
              <w:right w:val="single" w:sz="12" w:space="0" w:color="auto"/>
            </w:tcBorders>
            <w:shd w:val="clear" w:color="000000" w:fill="FFFFFF"/>
            <w:noWrap/>
            <w:vAlign w:val="center"/>
          </w:tcPr>
          <w:p w14:paraId="39CAAA2C"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1,5</w:t>
            </w:r>
          </w:p>
        </w:tc>
      </w:tr>
      <w:tr w:rsidR="00D615F9" w:rsidRPr="00D12EF9" w14:paraId="2F6F137E" w14:textId="77777777" w:rsidTr="004C4F29">
        <w:trPr>
          <w:trHeight w:val="248"/>
        </w:trPr>
        <w:tc>
          <w:tcPr>
            <w:tcW w:w="4096" w:type="dxa"/>
            <w:tcBorders>
              <w:left w:val="single" w:sz="12" w:space="0" w:color="auto"/>
            </w:tcBorders>
            <w:hideMark/>
          </w:tcPr>
          <w:p w14:paraId="25D5832B"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Προβλέψεις για επισφαλείς απαιτήσεις</w:t>
            </w:r>
          </w:p>
        </w:tc>
        <w:tc>
          <w:tcPr>
            <w:tcW w:w="1276" w:type="dxa"/>
            <w:tcBorders>
              <w:top w:val="nil"/>
              <w:left w:val="nil"/>
              <w:bottom w:val="nil"/>
              <w:right w:val="nil"/>
            </w:tcBorders>
            <w:shd w:val="clear" w:color="000000" w:fill="FFFFFF"/>
            <w:noWrap/>
            <w:vAlign w:val="center"/>
          </w:tcPr>
          <w:p w14:paraId="0B15CB9C"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143,9</w:t>
            </w:r>
          </w:p>
        </w:tc>
        <w:tc>
          <w:tcPr>
            <w:tcW w:w="1417" w:type="dxa"/>
            <w:tcBorders>
              <w:top w:val="nil"/>
              <w:left w:val="nil"/>
              <w:bottom w:val="nil"/>
              <w:right w:val="nil"/>
            </w:tcBorders>
            <w:shd w:val="clear" w:color="000000" w:fill="FFFFFF"/>
            <w:noWrap/>
            <w:vAlign w:val="center"/>
          </w:tcPr>
          <w:p w14:paraId="5E30E1F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186,1 </w:t>
            </w:r>
          </w:p>
        </w:tc>
        <w:tc>
          <w:tcPr>
            <w:tcW w:w="1418" w:type="dxa"/>
            <w:tcBorders>
              <w:top w:val="nil"/>
              <w:left w:val="nil"/>
              <w:bottom w:val="nil"/>
              <w:right w:val="nil"/>
            </w:tcBorders>
            <w:shd w:val="clear" w:color="000000" w:fill="FFFFFF"/>
            <w:noWrap/>
            <w:vAlign w:val="center"/>
          </w:tcPr>
          <w:p w14:paraId="145A50D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62,4 </w:t>
            </w:r>
          </w:p>
        </w:tc>
        <w:tc>
          <w:tcPr>
            <w:tcW w:w="1276" w:type="dxa"/>
            <w:tcBorders>
              <w:top w:val="nil"/>
              <w:left w:val="nil"/>
              <w:bottom w:val="nil"/>
              <w:right w:val="single" w:sz="12" w:space="0" w:color="auto"/>
            </w:tcBorders>
            <w:shd w:val="clear" w:color="000000" w:fill="FFFFFF"/>
            <w:noWrap/>
            <w:vAlign w:val="center"/>
          </w:tcPr>
          <w:p w14:paraId="67DD4A0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103,7</w:t>
            </w:r>
          </w:p>
        </w:tc>
      </w:tr>
      <w:tr w:rsidR="00D615F9" w:rsidRPr="00D12EF9" w14:paraId="4A76245D" w14:textId="77777777" w:rsidTr="004C4F29">
        <w:trPr>
          <w:trHeight w:val="248"/>
        </w:trPr>
        <w:tc>
          <w:tcPr>
            <w:tcW w:w="4096" w:type="dxa"/>
            <w:tcBorders>
              <w:left w:val="single" w:sz="12" w:space="0" w:color="auto"/>
            </w:tcBorders>
          </w:tcPr>
          <w:p w14:paraId="534B8DC8"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Έκτακτη εισφορά παραγωγών</w:t>
            </w:r>
          </w:p>
        </w:tc>
        <w:tc>
          <w:tcPr>
            <w:tcW w:w="1276" w:type="dxa"/>
            <w:tcBorders>
              <w:top w:val="nil"/>
              <w:left w:val="nil"/>
              <w:bottom w:val="nil"/>
              <w:right w:val="nil"/>
            </w:tcBorders>
            <w:shd w:val="clear" w:color="000000" w:fill="FFFFFF"/>
            <w:noWrap/>
            <w:vAlign w:val="center"/>
          </w:tcPr>
          <w:p w14:paraId="148B16A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417" w:type="dxa"/>
            <w:tcBorders>
              <w:top w:val="nil"/>
              <w:left w:val="nil"/>
              <w:bottom w:val="nil"/>
              <w:right w:val="nil"/>
            </w:tcBorders>
            <w:shd w:val="clear" w:color="000000" w:fill="FFFFFF"/>
            <w:noWrap/>
            <w:vAlign w:val="center"/>
          </w:tcPr>
          <w:p w14:paraId="36F1258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276,0 </w:t>
            </w:r>
          </w:p>
        </w:tc>
        <w:tc>
          <w:tcPr>
            <w:tcW w:w="1418" w:type="dxa"/>
            <w:tcBorders>
              <w:top w:val="nil"/>
              <w:left w:val="nil"/>
              <w:bottom w:val="nil"/>
              <w:right w:val="nil"/>
            </w:tcBorders>
            <w:shd w:val="clear" w:color="000000" w:fill="FFFFFF"/>
            <w:noWrap/>
            <w:vAlign w:val="center"/>
          </w:tcPr>
          <w:p w14:paraId="5C39F84C" w14:textId="2F7AB796"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   </w:t>
            </w:r>
          </w:p>
        </w:tc>
        <w:tc>
          <w:tcPr>
            <w:tcW w:w="1276" w:type="dxa"/>
            <w:tcBorders>
              <w:top w:val="nil"/>
              <w:left w:val="nil"/>
              <w:bottom w:val="nil"/>
              <w:right w:val="single" w:sz="12" w:space="0" w:color="auto"/>
            </w:tcBorders>
            <w:shd w:val="clear" w:color="000000" w:fill="FFFFFF"/>
            <w:noWrap/>
            <w:vAlign w:val="center"/>
          </w:tcPr>
          <w:p w14:paraId="36F75B4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276,0</w:t>
            </w:r>
          </w:p>
        </w:tc>
      </w:tr>
      <w:tr w:rsidR="00D615F9" w:rsidRPr="00D12EF9" w14:paraId="2125C6BC" w14:textId="77777777" w:rsidTr="004C4F29">
        <w:trPr>
          <w:trHeight w:val="262"/>
        </w:trPr>
        <w:tc>
          <w:tcPr>
            <w:tcW w:w="4096" w:type="dxa"/>
            <w:tcBorders>
              <w:left w:val="single" w:sz="12" w:space="0" w:color="auto"/>
              <w:bottom w:val="single" w:sz="12" w:space="0" w:color="auto"/>
            </w:tcBorders>
            <w:hideMark/>
          </w:tcPr>
          <w:p w14:paraId="315DCEA4"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Λοιπά (έσοδα ) / έξοδα, καθαρά</w:t>
            </w:r>
          </w:p>
        </w:tc>
        <w:tc>
          <w:tcPr>
            <w:tcW w:w="1276" w:type="dxa"/>
            <w:tcBorders>
              <w:bottom w:val="single" w:sz="12" w:space="0" w:color="auto"/>
            </w:tcBorders>
            <w:noWrap/>
            <w:vAlign w:val="center"/>
          </w:tcPr>
          <w:p w14:paraId="76CD2EA9"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105,4</w:t>
            </w:r>
          </w:p>
        </w:tc>
        <w:tc>
          <w:tcPr>
            <w:tcW w:w="1417" w:type="dxa"/>
            <w:tcBorders>
              <w:top w:val="nil"/>
              <w:left w:val="nil"/>
              <w:bottom w:val="nil"/>
              <w:right w:val="nil"/>
            </w:tcBorders>
            <w:shd w:val="clear" w:color="000000" w:fill="FFFFFF"/>
            <w:noWrap/>
            <w:vAlign w:val="center"/>
          </w:tcPr>
          <w:p w14:paraId="3883F55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249,2</w:t>
            </w:r>
          </w:p>
        </w:tc>
        <w:tc>
          <w:tcPr>
            <w:tcW w:w="1418" w:type="dxa"/>
            <w:tcBorders>
              <w:bottom w:val="single" w:sz="12" w:space="0" w:color="auto"/>
            </w:tcBorders>
            <w:noWrap/>
            <w:vAlign w:val="center"/>
          </w:tcPr>
          <w:p w14:paraId="3968E73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41,2</w:t>
            </w:r>
          </w:p>
        </w:tc>
        <w:tc>
          <w:tcPr>
            <w:tcW w:w="1276" w:type="dxa"/>
            <w:tcBorders>
              <w:top w:val="nil"/>
              <w:left w:val="nil"/>
              <w:bottom w:val="nil"/>
              <w:right w:val="single" w:sz="12" w:space="0" w:color="auto"/>
            </w:tcBorders>
            <w:shd w:val="clear" w:color="000000" w:fill="FFFFFF"/>
            <w:noWrap/>
            <w:vAlign w:val="center"/>
          </w:tcPr>
          <w:p w14:paraId="087C3C6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218,1</w:t>
            </w:r>
          </w:p>
        </w:tc>
      </w:tr>
      <w:tr w:rsidR="00D615F9" w:rsidRPr="00D12EF9" w14:paraId="202819D2" w14:textId="77777777" w:rsidTr="004C4F29">
        <w:trPr>
          <w:trHeight w:val="262"/>
        </w:trPr>
        <w:tc>
          <w:tcPr>
            <w:tcW w:w="4096" w:type="dxa"/>
            <w:tcBorders>
              <w:top w:val="single" w:sz="12" w:space="0" w:color="auto"/>
              <w:left w:val="single" w:sz="12" w:space="0" w:color="auto"/>
              <w:bottom w:val="single" w:sz="12" w:space="0" w:color="auto"/>
            </w:tcBorders>
            <w:hideMark/>
          </w:tcPr>
          <w:p w14:paraId="4145DE2F"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EBITDA (Α) = [(1) - (2)]</w:t>
            </w:r>
          </w:p>
        </w:tc>
        <w:tc>
          <w:tcPr>
            <w:tcW w:w="1276" w:type="dxa"/>
            <w:tcBorders>
              <w:top w:val="single" w:sz="12" w:space="0" w:color="auto"/>
              <w:bottom w:val="single" w:sz="12" w:space="0" w:color="auto"/>
            </w:tcBorders>
            <w:vAlign w:val="center"/>
          </w:tcPr>
          <w:p w14:paraId="30697A4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915,5</w:t>
            </w:r>
          </w:p>
        </w:tc>
        <w:tc>
          <w:tcPr>
            <w:tcW w:w="1417" w:type="dxa"/>
            <w:tcBorders>
              <w:top w:val="single" w:sz="12" w:space="0" w:color="auto"/>
              <w:bottom w:val="single" w:sz="12" w:space="0" w:color="auto"/>
            </w:tcBorders>
            <w:vAlign w:val="center"/>
          </w:tcPr>
          <w:p w14:paraId="5984E16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368,2</w:t>
            </w:r>
          </w:p>
        </w:tc>
        <w:tc>
          <w:tcPr>
            <w:tcW w:w="1418" w:type="dxa"/>
            <w:tcBorders>
              <w:top w:val="single" w:sz="12" w:space="0" w:color="auto"/>
              <w:bottom w:val="single" w:sz="12" w:space="0" w:color="auto"/>
            </w:tcBorders>
            <w:vAlign w:val="center"/>
          </w:tcPr>
          <w:p w14:paraId="59C78CD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337,3</w:t>
            </w:r>
          </w:p>
        </w:tc>
        <w:tc>
          <w:tcPr>
            <w:tcW w:w="1276" w:type="dxa"/>
            <w:tcBorders>
              <w:top w:val="single" w:sz="12" w:space="0" w:color="auto"/>
              <w:bottom w:val="single" w:sz="12" w:space="0" w:color="auto"/>
              <w:right w:val="single" w:sz="12" w:space="0" w:color="auto"/>
            </w:tcBorders>
            <w:vAlign w:val="center"/>
          </w:tcPr>
          <w:p w14:paraId="5774352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(61,1)</w:t>
            </w:r>
          </w:p>
        </w:tc>
      </w:tr>
      <w:tr w:rsidR="00D615F9" w:rsidRPr="00D12EF9" w14:paraId="29323374" w14:textId="77777777" w:rsidTr="004C4F29">
        <w:trPr>
          <w:trHeight w:val="294"/>
        </w:trPr>
        <w:tc>
          <w:tcPr>
            <w:tcW w:w="4096" w:type="dxa"/>
            <w:tcBorders>
              <w:top w:val="single" w:sz="12" w:space="0" w:color="auto"/>
              <w:left w:val="single" w:sz="12" w:space="0" w:color="auto"/>
              <w:bottom w:val="single" w:sz="12" w:space="0" w:color="auto"/>
            </w:tcBorders>
            <w:hideMark/>
          </w:tcPr>
          <w:p w14:paraId="3D736268"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ΠΕΡΙΘΩΡΙΟ EBITDA [(Α) / (1)]</w:t>
            </w:r>
          </w:p>
        </w:tc>
        <w:tc>
          <w:tcPr>
            <w:tcW w:w="1276" w:type="dxa"/>
            <w:tcBorders>
              <w:top w:val="single" w:sz="12" w:space="0" w:color="auto"/>
              <w:bottom w:val="single" w:sz="12" w:space="0" w:color="auto"/>
            </w:tcBorders>
            <w:vAlign w:val="center"/>
          </w:tcPr>
          <w:p w14:paraId="0E9316D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16,6%</w:t>
            </w:r>
          </w:p>
        </w:tc>
        <w:tc>
          <w:tcPr>
            <w:tcW w:w="1417" w:type="dxa"/>
            <w:tcBorders>
              <w:top w:val="single" w:sz="12" w:space="0" w:color="auto"/>
              <w:bottom w:val="single" w:sz="12" w:space="0" w:color="auto"/>
            </w:tcBorders>
            <w:vAlign w:val="center"/>
          </w:tcPr>
          <w:p w14:paraId="3BDED3A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4,3%</w:t>
            </w:r>
          </w:p>
        </w:tc>
        <w:tc>
          <w:tcPr>
            <w:tcW w:w="1418" w:type="dxa"/>
            <w:tcBorders>
              <w:top w:val="single" w:sz="12" w:space="0" w:color="auto"/>
              <w:bottom w:val="single" w:sz="12" w:space="0" w:color="auto"/>
            </w:tcBorders>
            <w:vAlign w:val="center"/>
          </w:tcPr>
          <w:p w14:paraId="6E6B4A7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17,4%</w:t>
            </w:r>
          </w:p>
        </w:tc>
        <w:tc>
          <w:tcPr>
            <w:tcW w:w="1276" w:type="dxa"/>
            <w:tcBorders>
              <w:top w:val="single" w:sz="12" w:space="0" w:color="auto"/>
              <w:bottom w:val="single" w:sz="12" w:space="0" w:color="auto"/>
              <w:right w:val="single" w:sz="12" w:space="0" w:color="auto"/>
            </w:tcBorders>
            <w:vAlign w:val="center"/>
          </w:tcPr>
          <w:p w14:paraId="2514C76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(1,5%)</w:t>
            </w:r>
          </w:p>
        </w:tc>
      </w:tr>
    </w:tbl>
    <w:p w14:paraId="05ECA0BE" w14:textId="77777777" w:rsidR="00D615F9" w:rsidRPr="00D12EF9" w:rsidRDefault="00D615F9" w:rsidP="00D615F9">
      <w:pPr>
        <w:rPr>
          <w:rFonts w:ascii="Ping LCG Regular" w:hAnsi="Ping LCG Regular"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1276"/>
        <w:gridCol w:w="1417"/>
        <w:gridCol w:w="1560"/>
        <w:gridCol w:w="1275"/>
      </w:tblGrid>
      <w:tr w:rsidR="00D615F9" w:rsidRPr="00CB062B" w14:paraId="3BC95B23" w14:textId="77777777" w:rsidTr="00035A93">
        <w:trPr>
          <w:trHeight w:val="255"/>
        </w:trPr>
        <w:tc>
          <w:tcPr>
            <w:tcW w:w="9624" w:type="dxa"/>
            <w:gridSpan w:val="5"/>
            <w:tcBorders>
              <w:top w:val="single" w:sz="12" w:space="0" w:color="auto"/>
              <w:left w:val="single" w:sz="12" w:space="0" w:color="auto"/>
              <w:bottom w:val="single" w:sz="12" w:space="0" w:color="auto"/>
              <w:right w:val="single" w:sz="12" w:space="0" w:color="auto"/>
            </w:tcBorders>
            <w:noWrap/>
            <w:hideMark/>
          </w:tcPr>
          <w:p w14:paraId="48D202FC"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ΠΙΝΑΚΑΣ Β. Λειτουργικές Δαπάνες προ Αποσβέσεων και Απομειώσεων, συνολικών καθαρών χρηματοοικονομικών δαπανών και κερδών /(ζημιών) από συγγενείς εταιρείες, χωρίς εφάπαξ επιπτώσεις</w:t>
            </w:r>
          </w:p>
        </w:tc>
      </w:tr>
      <w:tr w:rsidR="00D615F9" w:rsidRPr="00D12EF9" w14:paraId="409BC4EA" w14:textId="77777777" w:rsidTr="00035A93">
        <w:trPr>
          <w:trHeight w:val="270"/>
        </w:trPr>
        <w:tc>
          <w:tcPr>
            <w:tcW w:w="4096" w:type="dxa"/>
            <w:tcBorders>
              <w:top w:val="single" w:sz="12" w:space="0" w:color="auto"/>
              <w:left w:val="single" w:sz="12" w:space="0" w:color="auto"/>
            </w:tcBorders>
            <w:noWrap/>
            <w:hideMark/>
          </w:tcPr>
          <w:p w14:paraId="36BA132D"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1276" w:type="dxa"/>
            <w:tcBorders>
              <w:top w:val="single" w:sz="12" w:space="0" w:color="auto"/>
            </w:tcBorders>
            <w:hideMark/>
          </w:tcPr>
          <w:p w14:paraId="1B7E6770"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417" w:type="dxa"/>
            <w:tcBorders>
              <w:top w:val="single" w:sz="12" w:space="0" w:color="auto"/>
            </w:tcBorders>
            <w:hideMark/>
          </w:tcPr>
          <w:p w14:paraId="5B52EF1B"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560" w:type="dxa"/>
            <w:tcBorders>
              <w:top w:val="single" w:sz="12" w:space="0" w:color="auto"/>
            </w:tcBorders>
            <w:hideMark/>
          </w:tcPr>
          <w:p w14:paraId="17ABBA39"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right w:val="single" w:sz="12" w:space="0" w:color="auto"/>
            </w:tcBorders>
            <w:hideMark/>
          </w:tcPr>
          <w:p w14:paraId="3213E743"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r>
      <w:tr w:rsidR="00D615F9" w:rsidRPr="00D12EF9" w14:paraId="7A274BB7" w14:textId="77777777" w:rsidTr="00035A93">
        <w:trPr>
          <w:trHeight w:val="270"/>
        </w:trPr>
        <w:tc>
          <w:tcPr>
            <w:tcW w:w="4096" w:type="dxa"/>
            <w:tcBorders>
              <w:left w:val="single" w:sz="12" w:space="0" w:color="auto"/>
            </w:tcBorders>
            <w:noWrap/>
            <w:hideMark/>
          </w:tcPr>
          <w:p w14:paraId="32DE1B1A"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5528" w:type="dxa"/>
            <w:gridSpan w:val="4"/>
            <w:tcBorders>
              <w:bottom w:val="single" w:sz="12" w:space="0" w:color="auto"/>
              <w:right w:val="single" w:sz="12" w:space="0" w:color="auto"/>
            </w:tcBorders>
            <w:noWrap/>
            <w:hideMark/>
          </w:tcPr>
          <w:p w14:paraId="0DC282F9" w14:textId="77777777" w:rsidR="00D615F9" w:rsidRPr="00D12EF9" w:rsidRDefault="00D615F9" w:rsidP="00035A93">
            <w:pPr>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r>
      <w:tr w:rsidR="00D615F9" w:rsidRPr="00D12EF9" w14:paraId="21511E22" w14:textId="77777777" w:rsidTr="004C4F29">
        <w:trPr>
          <w:trHeight w:val="270"/>
        </w:trPr>
        <w:tc>
          <w:tcPr>
            <w:tcW w:w="4096" w:type="dxa"/>
            <w:tcBorders>
              <w:left w:val="single" w:sz="12" w:space="0" w:color="auto"/>
            </w:tcBorders>
            <w:hideMark/>
          </w:tcPr>
          <w:p w14:paraId="5090B3B3"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lastRenderedPageBreak/>
              <w:t> </w:t>
            </w:r>
          </w:p>
        </w:tc>
        <w:tc>
          <w:tcPr>
            <w:tcW w:w="1276" w:type="dxa"/>
            <w:tcBorders>
              <w:top w:val="single" w:sz="12" w:space="0" w:color="auto"/>
              <w:bottom w:val="single" w:sz="12" w:space="0" w:color="auto"/>
            </w:tcBorders>
            <w:vAlign w:val="center"/>
            <w:hideMark/>
          </w:tcPr>
          <w:p w14:paraId="5A4ABC8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01.01-30.09.2023</w:t>
            </w:r>
          </w:p>
        </w:tc>
        <w:tc>
          <w:tcPr>
            <w:tcW w:w="1417" w:type="dxa"/>
            <w:tcBorders>
              <w:top w:val="single" w:sz="12" w:space="0" w:color="auto"/>
              <w:bottom w:val="single" w:sz="12" w:space="0" w:color="auto"/>
            </w:tcBorders>
            <w:vAlign w:val="center"/>
            <w:hideMark/>
          </w:tcPr>
          <w:p w14:paraId="00308E5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01.01-30.09.2022</w:t>
            </w:r>
          </w:p>
        </w:tc>
        <w:tc>
          <w:tcPr>
            <w:tcW w:w="1560" w:type="dxa"/>
            <w:tcBorders>
              <w:top w:val="single" w:sz="12" w:space="0" w:color="auto"/>
              <w:bottom w:val="single" w:sz="12" w:space="0" w:color="auto"/>
            </w:tcBorders>
            <w:vAlign w:val="center"/>
            <w:hideMark/>
          </w:tcPr>
          <w:p w14:paraId="61D0A77E"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 xml:space="preserve"> 01.07-30.09.2023</w:t>
            </w:r>
          </w:p>
        </w:tc>
        <w:tc>
          <w:tcPr>
            <w:tcW w:w="1275" w:type="dxa"/>
            <w:tcBorders>
              <w:top w:val="single" w:sz="12" w:space="0" w:color="auto"/>
              <w:bottom w:val="single" w:sz="12" w:space="0" w:color="auto"/>
              <w:right w:val="single" w:sz="12" w:space="0" w:color="auto"/>
            </w:tcBorders>
            <w:vAlign w:val="center"/>
            <w:hideMark/>
          </w:tcPr>
          <w:p w14:paraId="1CB68676"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01.07-30.09.2022</w:t>
            </w:r>
          </w:p>
        </w:tc>
      </w:tr>
      <w:tr w:rsidR="00D615F9" w:rsidRPr="00D12EF9" w14:paraId="428E800F" w14:textId="77777777" w:rsidTr="004C4F29">
        <w:trPr>
          <w:trHeight w:val="255"/>
        </w:trPr>
        <w:tc>
          <w:tcPr>
            <w:tcW w:w="4096" w:type="dxa"/>
            <w:tcBorders>
              <w:left w:val="single" w:sz="12" w:space="0" w:color="auto"/>
            </w:tcBorders>
            <w:hideMark/>
          </w:tcPr>
          <w:p w14:paraId="3FFDB9D8"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Λειτουργικές Δαπάνες προ Αποσβέσεων και Απομειώσεων (2)</w:t>
            </w:r>
          </w:p>
        </w:tc>
        <w:tc>
          <w:tcPr>
            <w:tcW w:w="1276" w:type="dxa"/>
            <w:noWrap/>
            <w:vAlign w:val="center"/>
          </w:tcPr>
          <w:p w14:paraId="03CF75DB" w14:textId="77777777" w:rsidR="00D615F9" w:rsidRPr="00D615F9" w:rsidRDefault="00D615F9" w:rsidP="00035A93">
            <w:pPr>
              <w:jc w:val="right"/>
              <w:rPr>
                <w:rFonts w:ascii="Ping LCG Regular" w:hAnsi="Ping LCG Regular" w:cs="Arial"/>
                <w:b/>
                <w:bCs/>
                <w:sz w:val="20"/>
                <w:szCs w:val="20"/>
                <w:lang w:val="el-GR"/>
              </w:rPr>
            </w:pPr>
          </w:p>
          <w:p w14:paraId="48E8F2A1"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4.608,1</w:t>
            </w:r>
          </w:p>
        </w:tc>
        <w:tc>
          <w:tcPr>
            <w:tcW w:w="1417" w:type="dxa"/>
            <w:noWrap/>
            <w:vAlign w:val="center"/>
          </w:tcPr>
          <w:p w14:paraId="2BB0DA70" w14:textId="77777777" w:rsidR="00D615F9" w:rsidRPr="00D12EF9" w:rsidRDefault="00D615F9" w:rsidP="00035A93">
            <w:pPr>
              <w:jc w:val="right"/>
              <w:rPr>
                <w:rFonts w:ascii="Ping LCG Regular" w:hAnsi="Ping LCG Regular" w:cs="Arial"/>
                <w:b/>
                <w:bCs/>
                <w:sz w:val="20"/>
                <w:szCs w:val="20"/>
              </w:rPr>
            </w:pPr>
          </w:p>
          <w:p w14:paraId="3AB8CD42"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8.194,5</w:t>
            </w:r>
          </w:p>
        </w:tc>
        <w:tc>
          <w:tcPr>
            <w:tcW w:w="1560" w:type="dxa"/>
            <w:noWrap/>
            <w:vAlign w:val="center"/>
          </w:tcPr>
          <w:p w14:paraId="5EA73D42" w14:textId="77777777" w:rsidR="00D615F9" w:rsidRPr="00D12EF9" w:rsidRDefault="00D615F9" w:rsidP="00035A93">
            <w:pPr>
              <w:jc w:val="right"/>
              <w:rPr>
                <w:rFonts w:ascii="Ping LCG Regular" w:hAnsi="Ping LCG Regular" w:cs="Arial"/>
                <w:b/>
                <w:bCs/>
                <w:sz w:val="20"/>
                <w:szCs w:val="20"/>
              </w:rPr>
            </w:pPr>
          </w:p>
          <w:p w14:paraId="50E5F67A"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1.604,3</w:t>
            </w:r>
          </w:p>
        </w:tc>
        <w:tc>
          <w:tcPr>
            <w:tcW w:w="1275" w:type="dxa"/>
            <w:tcBorders>
              <w:right w:val="single" w:sz="12" w:space="0" w:color="auto"/>
            </w:tcBorders>
            <w:noWrap/>
            <w:vAlign w:val="center"/>
          </w:tcPr>
          <w:p w14:paraId="212D7692" w14:textId="77777777" w:rsidR="00D615F9" w:rsidRPr="00D12EF9" w:rsidRDefault="00D615F9" w:rsidP="00035A93">
            <w:pPr>
              <w:jc w:val="right"/>
              <w:rPr>
                <w:rFonts w:ascii="Ping LCG Regular" w:hAnsi="Ping LCG Regular" w:cs="Arial"/>
                <w:b/>
                <w:bCs/>
                <w:sz w:val="20"/>
                <w:szCs w:val="20"/>
              </w:rPr>
            </w:pPr>
          </w:p>
          <w:p w14:paraId="682A871E"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4.231,5</w:t>
            </w:r>
          </w:p>
        </w:tc>
      </w:tr>
      <w:tr w:rsidR="00D615F9" w:rsidRPr="00D12EF9" w14:paraId="09E5604B" w14:textId="77777777" w:rsidTr="004C4F29">
        <w:trPr>
          <w:trHeight w:val="255"/>
        </w:trPr>
        <w:tc>
          <w:tcPr>
            <w:tcW w:w="4096" w:type="dxa"/>
            <w:tcBorders>
              <w:left w:val="single" w:sz="12" w:space="0" w:color="auto"/>
            </w:tcBorders>
            <w:hideMark/>
          </w:tcPr>
          <w:p w14:paraId="6FD3AA72" w14:textId="77777777" w:rsidR="00D615F9" w:rsidRPr="00D12EF9" w:rsidRDefault="00D615F9" w:rsidP="00035A93">
            <w:pPr>
              <w:rPr>
                <w:rFonts w:ascii="Ping LCG Regular" w:hAnsi="Ping LCG Regular" w:cs="Arial"/>
                <w:sz w:val="20"/>
                <w:szCs w:val="20"/>
                <w:u w:val="single"/>
              </w:rPr>
            </w:pPr>
            <w:r w:rsidRPr="00D12EF9">
              <w:rPr>
                <w:rFonts w:ascii="Ping LCG Regular" w:hAnsi="Ping LCG Regular" w:cs="Arial"/>
                <w:sz w:val="20"/>
                <w:szCs w:val="20"/>
                <w:u w:val="single"/>
              </w:rPr>
              <w:t>μείον :</w:t>
            </w:r>
          </w:p>
        </w:tc>
        <w:tc>
          <w:tcPr>
            <w:tcW w:w="1276" w:type="dxa"/>
            <w:noWrap/>
            <w:vAlign w:val="center"/>
          </w:tcPr>
          <w:p w14:paraId="263EBFF1" w14:textId="77777777" w:rsidR="00D615F9" w:rsidRPr="00D12EF9" w:rsidRDefault="00D615F9" w:rsidP="00035A93">
            <w:pPr>
              <w:jc w:val="right"/>
              <w:rPr>
                <w:rFonts w:ascii="Ping LCG Regular" w:hAnsi="Ping LCG Regular" w:cs="Arial"/>
                <w:sz w:val="20"/>
                <w:szCs w:val="20"/>
              </w:rPr>
            </w:pPr>
          </w:p>
        </w:tc>
        <w:tc>
          <w:tcPr>
            <w:tcW w:w="1417" w:type="dxa"/>
            <w:noWrap/>
            <w:vAlign w:val="center"/>
          </w:tcPr>
          <w:p w14:paraId="50564303" w14:textId="77777777" w:rsidR="00D615F9" w:rsidRPr="00D12EF9" w:rsidRDefault="00D615F9" w:rsidP="00035A93">
            <w:pPr>
              <w:jc w:val="right"/>
              <w:rPr>
                <w:rFonts w:ascii="Ping LCG Regular" w:hAnsi="Ping LCG Regular" w:cs="Arial"/>
                <w:sz w:val="20"/>
                <w:szCs w:val="20"/>
              </w:rPr>
            </w:pPr>
          </w:p>
        </w:tc>
        <w:tc>
          <w:tcPr>
            <w:tcW w:w="1560" w:type="dxa"/>
            <w:noWrap/>
            <w:vAlign w:val="center"/>
          </w:tcPr>
          <w:p w14:paraId="1855A85A" w14:textId="77777777" w:rsidR="00D615F9" w:rsidRPr="00D12EF9" w:rsidRDefault="00D615F9" w:rsidP="00035A93">
            <w:pPr>
              <w:jc w:val="right"/>
              <w:rPr>
                <w:rFonts w:ascii="Ping LCG Regular" w:hAnsi="Ping LCG Regular" w:cs="Arial"/>
                <w:sz w:val="20"/>
                <w:szCs w:val="20"/>
              </w:rPr>
            </w:pPr>
          </w:p>
        </w:tc>
        <w:tc>
          <w:tcPr>
            <w:tcW w:w="1275" w:type="dxa"/>
            <w:tcBorders>
              <w:right w:val="single" w:sz="12" w:space="0" w:color="auto"/>
            </w:tcBorders>
            <w:noWrap/>
            <w:vAlign w:val="center"/>
          </w:tcPr>
          <w:p w14:paraId="29284B81" w14:textId="77777777" w:rsidR="00D615F9" w:rsidRPr="00D12EF9" w:rsidRDefault="00D615F9" w:rsidP="00035A93">
            <w:pPr>
              <w:jc w:val="right"/>
              <w:rPr>
                <w:rFonts w:ascii="Ping LCG Regular" w:hAnsi="Ping LCG Regular" w:cs="Arial"/>
                <w:sz w:val="20"/>
                <w:szCs w:val="20"/>
              </w:rPr>
            </w:pPr>
          </w:p>
        </w:tc>
      </w:tr>
      <w:tr w:rsidR="00D615F9" w:rsidRPr="00D12EF9" w14:paraId="6B5EA32C" w14:textId="77777777" w:rsidTr="004C4F29">
        <w:trPr>
          <w:trHeight w:val="117"/>
        </w:trPr>
        <w:tc>
          <w:tcPr>
            <w:tcW w:w="4096" w:type="dxa"/>
            <w:tcBorders>
              <w:left w:val="single" w:sz="12" w:space="0" w:color="auto"/>
            </w:tcBorders>
            <w:hideMark/>
          </w:tcPr>
          <w:p w14:paraId="3FABDB36" w14:textId="77777777" w:rsidR="00D615F9" w:rsidRPr="00D12EF9" w:rsidRDefault="00D615F9" w:rsidP="00035A93">
            <w:pPr>
              <w:rPr>
                <w:rFonts w:ascii="Ping LCG Regular" w:hAnsi="Ping LCG Regular" w:cs="Arial"/>
                <w:i/>
                <w:iCs/>
                <w:sz w:val="20"/>
                <w:szCs w:val="20"/>
              </w:rPr>
            </w:pPr>
            <w:r w:rsidRPr="00D12EF9">
              <w:rPr>
                <w:rFonts w:ascii="Ping LCG Regular" w:hAnsi="Ping LCG Regular" w:cs="Arial"/>
                <w:i/>
                <w:iCs/>
                <w:sz w:val="20"/>
                <w:szCs w:val="20"/>
              </w:rPr>
              <w:t xml:space="preserve">Πρόβλεψη αποζημιώσεων προσωπικού </w:t>
            </w:r>
          </w:p>
        </w:tc>
        <w:tc>
          <w:tcPr>
            <w:tcW w:w="1276" w:type="dxa"/>
            <w:noWrap/>
            <w:vAlign w:val="center"/>
          </w:tcPr>
          <w:p w14:paraId="3F0588C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21,3</w:t>
            </w:r>
          </w:p>
        </w:tc>
        <w:tc>
          <w:tcPr>
            <w:tcW w:w="1417" w:type="dxa"/>
            <w:noWrap/>
            <w:vAlign w:val="center"/>
          </w:tcPr>
          <w:p w14:paraId="525CEBD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560" w:type="dxa"/>
            <w:noWrap/>
            <w:vAlign w:val="center"/>
          </w:tcPr>
          <w:p w14:paraId="51CFB39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9,9</w:t>
            </w:r>
          </w:p>
        </w:tc>
        <w:tc>
          <w:tcPr>
            <w:tcW w:w="1275" w:type="dxa"/>
            <w:tcBorders>
              <w:right w:val="single" w:sz="12" w:space="0" w:color="auto"/>
            </w:tcBorders>
            <w:noWrap/>
            <w:vAlign w:val="center"/>
          </w:tcPr>
          <w:p w14:paraId="2829EC6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r>
      <w:tr w:rsidR="00D615F9" w:rsidRPr="00D12EF9" w14:paraId="5D3078E0" w14:textId="77777777" w:rsidTr="004C4F29">
        <w:trPr>
          <w:trHeight w:val="117"/>
        </w:trPr>
        <w:tc>
          <w:tcPr>
            <w:tcW w:w="4096" w:type="dxa"/>
            <w:tcBorders>
              <w:left w:val="single" w:sz="12" w:space="0" w:color="auto"/>
            </w:tcBorders>
          </w:tcPr>
          <w:p w14:paraId="28A6CFF0" w14:textId="77777777" w:rsidR="00D615F9" w:rsidRPr="00D12EF9" w:rsidRDefault="00D615F9" w:rsidP="00035A93">
            <w:pPr>
              <w:rPr>
                <w:rFonts w:ascii="Ping LCG Regular" w:hAnsi="Ping LCG Regular" w:cs="Arial"/>
                <w:i/>
                <w:iCs/>
                <w:sz w:val="20"/>
                <w:szCs w:val="20"/>
              </w:rPr>
            </w:pPr>
            <w:r w:rsidRPr="00D12EF9">
              <w:rPr>
                <w:rFonts w:ascii="Ping LCG Regular" w:hAnsi="Ping LCG Regular" w:cs="Arial"/>
                <w:i/>
                <w:iCs/>
                <w:sz w:val="20"/>
                <w:szCs w:val="20"/>
              </w:rPr>
              <w:t>Έκτακτη εισφορά παραγωγών</w:t>
            </w:r>
          </w:p>
        </w:tc>
        <w:tc>
          <w:tcPr>
            <w:tcW w:w="1276" w:type="dxa"/>
            <w:noWrap/>
            <w:vAlign w:val="center"/>
          </w:tcPr>
          <w:p w14:paraId="2283F4E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w:t>
            </w:r>
          </w:p>
        </w:tc>
        <w:tc>
          <w:tcPr>
            <w:tcW w:w="1417" w:type="dxa"/>
            <w:noWrap/>
            <w:vAlign w:val="center"/>
          </w:tcPr>
          <w:p w14:paraId="3B56AC5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276,0</w:t>
            </w:r>
          </w:p>
        </w:tc>
        <w:tc>
          <w:tcPr>
            <w:tcW w:w="1560" w:type="dxa"/>
            <w:noWrap/>
            <w:vAlign w:val="center"/>
          </w:tcPr>
          <w:p w14:paraId="071E537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275" w:type="dxa"/>
            <w:tcBorders>
              <w:right w:val="single" w:sz="12" w:space="0" w:color="auto"/>
            </w:tcBorders>
            <w:noWrap/>
            <w:vAlign w:val="center"/>
          </w:tcPr>
          <w:p w14:paraId="31747EC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276,0</w:t>
            </w:r>
          </w:p>
        </w:tc>
      </w:tr>
      <w:tr w:rsidR="00D615F9" w:rsidRPr="00D12EF9" w14:paraId="6C15AB55" w14:textId="77777777" w:rsidTr="004C4F29">
        <w:trPr>
          <w:trHeight w:val="66"/>
        </w:trPr>
        <w:tc>
          <w:tcPr>
            <w:tcW w:w="4096" w:type="dxa"/>
            <w:tcBorders>
              <w:top w:val="single" w:sz="12" w:space="0" w:color="auto"/>
              <w:left w:val="single" w:sz="12" w:space="0" w:color="auto"/>
              <w:bottom w:val="single" w:sz="12" w:space="0" w:color="auto"/>
            </w:tcBorders>
            <w:hideMark/>
          </w:tcPr>
          <w:p w14:paraId="279A0863"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Λειτουργικές Δαπάνες προ Αποσβέσεων και Απομειώσεων  χωρίς εφάπαξ επιπτώσεις</w:t>
            </w:r>
          </w:p>
        </w:tc>
        <w:tc>
          <w:tcPr>
            <w:tcW w:w="1276" w:type="dxa"/>
            <w:tcBorders>
              <w:top w:val="single" w:sz="12" w:space="0" w:color="auto"/>
              <w:bottom w:val="single" w:sz="12" w:space="0" w:color="auto"/>
            </w:tcBorders>
            <w:vAlign w:val="center"/>
          </w:tcPr>
          <w:p w14:paraId="5B407DBA" w14:textId="77777777" w:rsidR="00D615F9" w:rsidRPr="00D615F9" w:rsidRDefault="00D615F9" w:rsidP="00035A93">
            <w:pPr>
              <w:jc w:val="right"/>
              <w:rPr>
                <w:rFonts w:ascii="Ping LCG Regular" w:hAnsi="Ping LCG Regular" w:cs="Arial"/>
                <w:b/>
                <w:bCs/>
                <w:sz w:val="20"/>
                <w:szCs w:val="20"/>
                <w:lang w:val="el-GR"/>
              </w:rPr>
            </w:pPr>
          </w:p>
          <w:p w14:paraId="5424388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4.586,8</w:t>
            </w:r>
          </w:p>
        </w:tc>
        <w:tc>
          <w:tcPr>
            <w:tcW w:w="1417" w:type="dxa"/>
            <w:tcBorders>
              <w:top w:val="single" w:sz="12" w:space="0" w:color="auto"/>
              <w:bottom w:val="single" w:sz="12" w:space="0" w:color="auto"/>
            </w:tcBorders>
            <w:vAlign w:val="center"/>
          </w:tcPr>
          <w:p w14:paraId="0C98E1AB" w14:textId="77777777" w:rsidR="00D615F9" w:rsidRPr="00D12EF9" w:rsidRDefault="00D615F9" w:rsidP="00035A93">
            <w:pPr>
              <w:jc w:val="right"/>
              <w:rPr>
                <w:rFonts w:ascii="Ping LCG Regular" w:hAnsi="Ping LCG Regular" w:cs="Arial"/>
                <w:b/>
                <w:bCs/>
                <w:sz w:val="20"/>
                <w:szCs w:val="20"/>
              </w:rPr>
            </w:pPr>
          </w:p>
          <w:p w14:paraId="60161C0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7.918,5</w:t>
            </w:r>
          </w:p>
        </w:tc>
        <w:tc>
          <w:tcPr>
            <w:tcW w:w="1560" w:type="dxa"/>
            <w:tcBorders>
              <w:top w:val="single" w:sz="12" w:space="0" w:color="auto"/>
              <w:bottom w:val="single" w:sz="12" w:space="0" w:color="auto"/>
            </w:tcBorders>
            <w:vAlign w:val="center"/>
          </w:tcPr>
          <w:p w14:paraId="4B3F5B77" w14:textId="77777777" w:rsidR="00D615F9" w:rsidRPr="00D12EF9" w:rsidRDefault="00D615F9" w:rsidP="00035A93">
            <w:pPr>
              <w:jc w:val="right"/>
              <w:rPr>
                <w:rFonts w:ascii="Ping LCG Regular" w:hAnsi="Ping LCG Regular" w:cs="Arial"/>
                <w:b/>
                <w:bCs/>
                <w:sz w:val="20"/>
                <w:szCs w:val="20"/>
              </w:rPr>
            </w:pPr>
          </w:p>
          <w:p w14:paraId="58A4D346"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1.594,4</w:t>
            </w:r>
          </w:p>
        </w:tc>
        <w:tc>
          <w:tcPr>
            <w:tcW w:w="1275" w:type="dxa"/>
            <w:tcBorders>
              <w:top w:val="single" w:sz="12" w:space="0" w:color="auto"/>
              <w:bottom w:val="single" w:sz="12" w:space="0" w:color="auto"/>
              <w:right w:val="single" w:sz="12" w:space="0" w:color="auto"/>
            </w:tcBorders>
            <w:vAlign w:val="center"/>
          </w:tcPr>
          <w:p w14:paraId="464A059D" w14:textId="77777777" w:rsidR="00D615F9" w:rsidRPr="00D12EF9" w:rsidRDefault="00D615F9" w:rsidP="00035A93">
            <w:pPr>
              <w:jc w:val="right"/>
              <w:rPr>
                <w:rFonts w:ascii="Ping LCG Regular" w:hAnsi="Ping LCG Regular" w:cs="Arial"/>
                <w:b/>
                <w:bCs/>
                <w:sz w:val="20"/>
                <w:szCs w:val="20"/>
              </w:rPr>
            </w:pPr>
          </w:p>
          <w:p w14:paraId="20C62211"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3.955,5</w:t>
            </w:r>
          </w:p>
        </w:tc>
      </w:tr>
    </w:tbl>
    <w:p w14:paraId="1D3427DA" w14:textId="77777777" w:rsidR="004C4F29" w:rsidRPr="00D12EF9" w:rsidRDefault="004C4F29" w:rsidP="00D615F9">
      <w:pPr>
        <w:rPr>
          <w:rFonts w:ascii="Ping LCG Regular" w:hAnsi="Ping LCG Regular"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1418"/>
        <w:gridCol w:w="1417"/>
        <w:gridCol w:w="1560"/>
        <w:gridCol w:w="1275"/>
      </w:tblGrid>
      <w:tr w:rsidR="00D615F9" w:rsidRPr="00CB062B" w14:paraId="237E8D64" w14:textId="77777777" w:rsidTr="00035A93">
        <w:trPr>
          <w:trHeight w:val="255"/>
        </w:trPr>
        <w:tc>
          <w:tcPr>
            <w:tcW w:w="9624" w:type="dxa"/>
            <w:gridSpan w:val="5"/>
            <w:tcBorders>
              <w:top w:val="single" w:sz="12" w:space="0" w:color="auto"/>
              <w:left w:val="single" w:sz="12" w:space="0" w:color="auto"/>
              <w:bottom w:val="single" w:sz="12" w:space="0" w:color="auto"/>
              <w:right w:val="single" w:sz="12" w:space="0" w:color="auto"/>
            </w:tcBorders>
            <w:noWrap/>
            <w:hideMark/>
          </w:tcPr>
          <w:p w14:paraId="2290AE61"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 xml:space="preserve">ΠΙΝΑΚΑΣ Γ.  </w:t>
            </w:r>
            <w:r w:rsidRPr="00D12EF9">
              <w:rPr>
                <w:rFonts w:ascii="Ping LCG Regular" w:hAnsi="Ping LCG Regular" w:cs="Arial"/>
                <w:b/>
                <w:bCs/>
                <w:sz w:val="20"/>
                <w:szCs w:val="20"/>
              </w:rPr>
              <w:t>EBITDA</w:t>
            </w:r>
            <w:r w:rsidRPr="00D615F9">
              <w:rPr>
                <w:rFonts w:ascii="Ping LCG Regular" w:hAnsi="Ping LCG Regular" w:cs="Arial"/>
                <w:b/>
                <w:bCs/>
                <w:sz w:val="20"/>
                <w:szCs w:val="20"/>
                <w:lang w:val="el-GR"/>
              </w:rPr>
              <w:t xml:space="preserve"> ΕΠΑΝΑΛΑΜΒΑΝΟΜΕΝΟ (Δείκτης λειτουργικών κερδών πριν από αποσβέσεις και απομειώσεις, καθαρές χρηματοοικονομικές δαπάνες και φόρους, χωρίς εφάπαξ επιπτώσεις)</w:t>
            </w:r>
          </w:p>
        </w:tc>
      </w:tr>
      <w:tr w:rsidR="00D615F9" w:rsidRPr="00D12EF9" w14:paraId="764F231A" w14:textId="77777777" w:rsidTr="00035A93">
        <w:trPr>
          <w:trHeight w:val="270"/>
        </w:trPr>
        <w:tc>
          <w:tcPr>
            <w:tcW w:w="3954" w:type="dxa"/>
            <w:tcBorders>
              <w:top w:val="single" w:sz="12" w:space="0" w:color="auto"/>
              <w:left w:val="single" w:sz="12" w:space="0" w:color="auto"/>
            </w:tcBorders>
            <w:noWrap/>
            <w:hideMark/>
          </w:tcPr>
          <w:p w14:paraId="4902FA1D"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1418" w:type="dxa"/>
            <w:tcBorders>
              <w:top w:val="single" w:sz="12" w:space="0" w:color="auto"/>
            </w:tcBorders>
            <w:noWrap/>
            <w:hideMark/>
          </w:tcPr>
          <w:p w14:paraId="1241FAA3"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417" w:type="dxa"/>
            <w:tcBorders>
              <w:top w:val="single" w:sz="12" w:space="0" w:color="auto"/>
            </w:tcBorders>
            <w:noWrap/>
            <w:hideMark/>
          </w:tcPr>
          <w:p w14:paraId="0838F95D"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560" w:type="dxa"/>
            <w:tcBorders>
              <w:top w:val="single" w:sz="12" w:space="0" w:color="auto"/>
            </w:tcBorders>
            <w:noWrap/>
            <w:hideMark/>
          </w:tcPr>
          <w:p w14:paraId="0CC31677"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right w:val="single" w:sz="12" w:space="0" w:color="auto"/>
            </w:tcBorders>
            <w:noWrap/>
            <w:hideMark/>
          </w:tcPr>
          <w:p w14:paraId="3341971E"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r>
      <w:tr w:rsidR="00D615F9" w:rsidRPr="00D12EF9" w14:paraId="2ABE5947" w14:textId="77777777" w:rsidTr="00035A93">
        <w:trPr>
          <w:trHeight w:val="270"/>
        </w:trPr>
        <w:tc>
          <w:tcPr>
            <w:tcW w:w="3954" w:type="dxa"/>
            <w:tcBorders>
              <w:left w:val="single" w:sz="12" w:space="0" w:color="auto"/>
            </w:tcBorders>
            <w:noWrap/>
            <w:hideMark/>
          </w:tcPr>
          <w:p w14:paraId="5502880B"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5670" w:type="dxa"/>
            <w:gridSpan w:val="4"/>
            <w:tcBorders>
              <w:bottom w:val="single" w:sz="12" w:space="0" w:color="auto"/>
              <w:right w:val="single" w:sz="12" w:space="0" w:color="auto"/>
            </w:tcBorders>
            <w:noWrap/>
            <w:hideMark/>
          </w:tcPr>
          <w:p w14:paraId="5D29E18A" w14:textId="77777777" w:rsidR="00D615F9" w:rsidRPr="00D12EF9" w:rsidRDefault="00D615F9" w:rsidP="00035A93">
            <w:pPr>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r>
      <w:tr w:rsidR="00D615F9" w:rsidRPr="00D12EF9" w14:paraId="6B0CE84F" w14:textId="77777777" w:rsidTr="004C4F29">
        <w:trPr>
          <w:trHeight w:val="270"/>
        </w:trPr>
        <w:tc>
          <w:tcPr>
            <w:tcW w:w="3954" w:type="dxa"/>
            <w:tcBorders>
              <w:left w:val="single" w:sz="12" w:space="0" w:color="auto"/>
            </w:tcBorders>
            <w:noWrap/>
            <w:hideMark/>
          </w:tcPr>
          <w:p w14:paraId="6373D314"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418" w:type="dxa"/>
            <w:tcBorders>
              <w:top w:val="single" w:sz="12" w:space="0" w:color="auto"/>
              <w:bottom w:val="single" w:sz="12" w:space="0" w:color="auto"/>
            </w:tcBorders>
            <w:vAlign w:val="center"/>
            <w:hideMark/>
          </w:tcPr>
          <w:p w14:paraId="6D75A1B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01.01-30.09.2023</w:t>
            </w:r>
          </w:p>
        </w:tc>
        <w:tc>
          <w:tcPr>
            <w:tcW w:w="1417" w:type="dxa"/>
            <w:tcBorders>
              <w:top w:val="single" w:sz="12" w:space="0" w:color="auto"/>
              <w:bottom w:val="single" w:sz="12" w:space="0" w:color="auto"/>
            </w:tcBorders>
            <w:vAlign w:val="center"/>
            <w:hideMark/>
          </w:tcPr>
          <w:p w14:paraId="54CB036A"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01.01-30.09.2022</w:t>
            </w:r>
          </w:p>
        </w:tc>
        <w:tc>
          <w:tcPr>
            <w:tcW w:w="1560" w:type="dxa"/>
            <w:tcBorders>
              <w:top w:val="single" w:sz="12" w:space="0" w:color="auto"/>
              <w:bottom w:val="single" w:sz="12" w:space="0" w:color="auto"/>
            </w:tcBorders>
            <w:vAlign w:val="center"/>
            <w:hideMark/>
          </w:tcPr>
          <w:p w14:paraId="0B4ECA0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 xml:space="preserve"> 01.07-30.09.2023</w:t>
            </w:r>
          </w:p>
        </w:tc>
        <w:tc>
          <w:tcPr>
            <w:tcW w:w="1275" w:type="dxa"/>
            <w:tcBorders>
              <w:top w:val="single" w:sz="12" w:space="0" w:color="auto"/>
              <w:bottom w:val="single" w:sz="12" w:space="0" w:color="auto"/>
              <w:right w:val="single" w:sz="12" w:space="0" w:color="auto"/>
            </w:tcBorders>
            <w:vAlign w:val="center"/>
            <w:hideMark/>
          </w:tcPr>
          <w:p w14:paraId="68AA5F0A"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01.07-30.09.2022</w:t>
            </w:r>
          </w:p>
        </w:tc>
      </w:tr>
      <w:tr w:rsidR="00D615F9" w:rsidRPr="00D12EF9" w14:paraId="00E27878" w14:textId="77777777" w:rsidTr="004C4F29">
        <w:trPr>
          <w:trHeight w:val="160"/>
        </w:trPr>
        <w:tc>
          <w:tcPr>
            <w:tcW w:w="3954" w:type="dxa"/>
            <w:tcBorders>
              <w:left w:val="single" w:sz="12" w:space="0" w:color="auto"/>
            </w:tcBorders>
            <w:noWrap/>
            <w:hideMark/>
          </w:tcPr>
          <w:p w14:paraId="69390B31"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EBITDA (1)</w:t>
            </w:r>
          </w:p>
        </w:tc>
        <w:tc>
          <w:tcPr>
            <w:tcW w:w="1418" w:type="dxa"/>
            <w:tcBorders>
              <w:top w:val="nil"/>
              <w:left w:val="nil"/>
              <w:bottom w:val="nil"/>
              <w:right w:val="nil"/>
            </w:tcBorders>
            <w:shd w:val="clear" w:color="000000" w:fill="FFFFFF"/>
            <w:vAlign w:val="center"/>
          </w:tcPr>
          <w:p w14:paraId="4C6F579A"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915,5</w:t>
            </w:r>
          </w:p>
        </w:tc>
        <w:tc>
          <w:tcPr>
            <w:tcW w:w="1417" w:type="dxa"/>
            <w:tcBorders>
              <w:top w:val="nil"/>
              <w:left w:val="nil"/>
              <w:bottom w:val="nil"/>
              <w:right w:val="nil"/>
            </w:tcBorders>
            <w:shd w:val="clear" w:color="000000" w:fill="FFFFFF"/>
            <w:vAlign w:val="center"/>
          </w:tcPr>
          <w:p w14:paraId="6680920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368,2</w:t>
            </w:r>
          </w:p>
        </w:tc>
        <w:tc>
          <w:tcPr>
            <w:tcW w:w="1560" w:type="dxa"/>
            <w:vAlign w:val="center"/>
          </w:tcPr>
          <w:p w14:paraId="6D6DE8C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337,3</w:t>
            </w:r>
          </w:p>
        </w:tc>
        <w:tc>
          <w:tcPr>
            <w:tcW w:w="1275" w:type="dxa"/>
            <w:tcBorders>
              <w:right w:val="single" w:sz="12" w:space="0" w:color="auto"/>
            </w:tcBorders>
            <w:vAlign w:val="center"/>
          </w:tcPr>
          <w:p w14:paraId="2C88383E"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(61,1)</w:t>
            </w:r>
          </w:p>
        </w:tc>
      </w:tr>
      <w:tr w:rsidR="00D615F9" w:rsidRPr="00D12EF9" w14:paraId="707EE13C" w14:textId="77777777" w:rsidTr="004C4F29">
        <w:trPr>
          <w:trHeight w:val="181"/>
        </w:trPr>
        <w:tc>
          <w:tcPr>
            <w:tcW w:w="3954" w:type="dxa"/>
            <w:tcBorders>
              <w:left w:val="single" w:sz="12" w:space="0" w:color="auto"/>
            </w:tcBorders>
            <w:noWrap/>
            <w:hideMark/>
          </w:tcPr>
          <w:p w14:paraId="0B34542F"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συν εφάπαξ επιπτώσεις (2):</w:t>
            </w:r>
          </w:p>
        </w:tc>
        <w:tc>
          <w:tcPr>
            <w:tcW w:w="1418" w:type="dxa"/>
            <w:tcBorders>
              <w:top w:val="nil"/>
              <w:left w:val="nil"/>
              <w:bottom w:val="nil"/>
              <w:right w:val="nil"/>
            </w:tcBorders>
            <w:shd w:val="clear" w:color="000000" w:fill="FFFFFF"/>
            <w:noWrap/>
            <w:vAlign w:val="center"/>
          </w:tcPr>
          <w:p w14:paraId="718E589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21,3</w:t>
            </w:r>
          </w:p>
        </w:tc>
        <w:tc>
          <w:tcPr>
            <w:tcW w:w="1417" w:type="dxa"/>
            <w:tcBorders>
              <w:top w:val="nil"/>
              <w:left w:val="nil"/>
              <w:bottom w:val="nil"/>
              <w:right w:val="nil"/>
            </w:tcBorders>
            <w:shd w:val="clear" w:color="000000" w:fill="FFFFFF"/>
            <w:noWrap/>
            <w:vAlign w:val="center"/>
          </w:tcPr>
          <w:p w14:paraId="7CE9125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276,0</w:t>
            </w:r>
          </w:p>
        </w:tc>
        <w:tc>
          <w:tcPr>
            <w:tcW w:w="1560" w:type="dxa"/>
            <w:tcBorders>
              <w:top w:val="nil"/>
              <w:left w:val="nil"/>
              <w:bottom w:val="nil"/>
              <w:right w:val="nil"/>
            </w:tcBorders>
            <w:shd w:val="clear" w:color="000000" w:fill="FFFFFF"/>
            <w:noWrap/>
            <w:vAlign w:val="center"/>
          </w:tcPr>
          <w:p w14:paraId="1472BEA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9,9</w:t>
            </w:r>
          </w:p>
        </w:tc>
        <w:tc>
          <w:tcPr>
            <w:tcW w:w="1275" w:type="dxa"/>
            <w:tcBorders>
              <w:right w:val="single" w:sz="12" w:space="0" w:color="auto"/>
            </w:tcBorders>
            <w:noWrap/>
            <w:vAlign w:val="center"/>
          </w:tcPr>
          <w:p w14:paraId="1107BA3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276,0</w:t>
            </w:r>
          </w:p>
        </w:tc>
      </w:tr>
      <w:tr w:rsidR="00D615F9" w:rsidRPr="00D12EF9" w14:paraId="6B02B7A3" w14:textId="77777777" w:rsidTr="004C4F29">
        <w:trPr>
          <w:trHeight w:val="158"/>
        </w:trPr>
        <w:tc>
          <w:tcPr>
            <w:tcW w:w="3954" w:type="dxa"/>
            <w:tcBorders>
              <w:left w:val="single" w:sz="12" w:space="0" w:color="auto"/>
            </w:tcBorders>
            <w:hideMark/>
          </w:tcPr>
          <w:p w14:paraId="4E93A92A" w14:textId="77777777" w:rsidR="00D615F9" w:rsidRPr="00D12EF9" w:rsidRDefault="00D615F9" w:rsidP="00035A93">
            <w:pPr>
              <w:rPr>
                <w:rFonts w:ascii="Ping LCG Regular" w:hAnsi="Ping LCG Regular" w:cs="Arial"/>
                <w:i/>
                <w:iCs/>
                <w:sz w:val="20"/>
                <w:szCs w:val="20"/>
              </w:rPr>
            </w:pPr>
            <w:r w:rsidRPr="00D12EF9">
              <w:rPr>
                <w:rFonts w:ascii="Ping LCG Regular" w:hAnsi="Ping LCG Regular" w:cs="Arial"/>
                <w:i/>
                <w:iCs/>
                <w:sz w:val="20"/>
                <w:szCs w:val="20"/>
              </w:rPr>
              <w:t xml:space="preserve">Πρόβλεψη αποζημιώσεων προσωπικού </w:t>
            </w:r>
          </w:p>
        </w:tc>
        <w:tc>
          <w:tcPr>
            <w:tcW w:w="1418" w:type="dxa"/>
            <w:noWrap/>
            <w:vAlign w:val="center"/>
          </w:tcPr>
          <w:p w14:paraId="11CD9F88"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21,3</w:t>
            </w:r>
          </w:p>
        </w:tc>
        <w:tc>
          <w:tcPr>
            <w:tcW w:w="1417" w:type="dxa"/>
            <w:noWrap/>
            <w:vAlign w:val="center"/>
          </w:tcPr>
          <w:p w14:paraId="186DCDC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560" w:type="dxa"/>
            <w:noWrap/>
            <w:vAlign w:val="center"/>
          </w:tcPr>
          <w:p w14:paraId="477BBC3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9,9</w:t>
            </w:r>
          </w:p>
        </w:tc>
        <w:tc>
          <w:tcPr>
            <w:tcW w:w="1275" w:type="dxa"/>
            <w:tcBorders>
              <w:right w:val="single" w:sz="12" w:space="0" w:color="auto"/>
            </w:tcBorders>
            <w:noWrap/>
            <w:vAlign w:val="center"/>
          </w:tcPr>
          <w:p w14:paraId="70F11014"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r>
      <w:tr w:rsidR="00D615F9" w:rsidRPr="00D12EF9" w14:paraId="3C43341F" w14:textId="77777777" w:rsidTr="004C4F29">
        <w:trPr>
          <w:trHeight w:val="158"/>
        </w:trPr>
        <w:tc>
          <w:tcPr>
            <w:tcW w:w="3954" w:type="dxa"/>
            <w:tcBorders>
              <w:left w:val="single" w:sz="12" w:space="0" w:color="auto"/>
            </w:tcBorders>
          </w:tcPr>
          <w:p w14:paraId="624BE977" w14:textId="77777777" w:rsidR="00D615F9" w:rsidRPr="00D12EF9" w:rsidRDefault="00D615F9" w:rsidP="00035A93">
            <w:pPr>
              <w:rPr>
                <w:rFonts w:ascii="Ping LCG Regular" w:hAnsi="Ping LCG Regular" w:cs="Arial"/>
                <w:i/>
                <w:iCs/>
                <w:sz w:val="20"/>
                <w:szCs w:val="20"/>
              </w:rPr>
            </w:pPr>
            <w:r w:rsidRPr="00D12EF9">
              <w:rPr>
                <w:rFonts w:ascii="Ping LCG Regular" w:hAnsi="Ping LCG Regular" w:cs="Arial"/>
                <w:i/>
                <w:iCs/>
                <w:sz w:val="20"/>
                <w:szCs w:val="20"/>
              </w:rPr>
              <w:t>Έκτακτη εισφορά παραγωγών</w:t>
            </w:r>
          </w:p>
        </w:tc>
        <w:tc>
          <w:tcPr>
            <w:tcW w:w="1418" w:type="dxa"/>
            <w:noWrap/>
            <w:vAlign w:val="center"/>
          </w:tcPr>
          <w:p w14:paraId="154860C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w:t>
            </w:r>
          </w:p>
        </w:tc>
        <w:tc>
          <w:tcPr>
            <w:tcW w:w="1417" w:type="dxa"/>
            <w:noWrap/>
            <w:vAlign w:val="center"/>
          </w:tcPr>
          <w:p w14:paraId="14B6B23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276,0</w:t>
            </w:r>
          </w:p>
        </w:tc>
        <w:tc>
          <w:tcPr>
            <w:tcW w:w="1560" w:type="dxa"/>
            <w:noWrap/>
            <w:vAlign w:val="center"/>
          </w:tcPr>
          <w:p w14:paraId="3FE02A6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275" w:type="dxa"/>
            <w:tcBorders>
              <w:right w:val="single" w:sz="12" w:space="0" w:color="auto"/>
            </w:tcBorders>
            <w:noWrap/>
            <w:vAlign w:val="center"/>
          </w:tcPr>
          <w:p w14:paraId="15C8326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276,0</w:t>
            </w:r>
          </w:p>
        </w:tc>
      </w:tr>
      <w:tr w:rsidR="00D615F9" w:rsidRPr="00D12EF9" w14:paraId="3FC1F936" w14:textId="77777777" w:rsidTr="004C4F29">
        <w:trPr>
          <w:trHeight w:val="334"/>
        </w:trPr>
        <w:tc>
          <w:tcPr>
            <w:tcW w:w="3954" w:type="dxa"/>
            <w:tcBorders>
              <w:top w:val="single" w:sz="12" w:space="0" w:color="auto"/>
              <w:left w:val="single" w:sz="12" w:space="0" w:color="auto"/>
              <w:bottom w:val="single" w:sz="12" w:space="0" w:color="auto"/>
            </w:tcBorders>
            <w:hideMark/>
          </w:tcPr>
          <w:p w14:paraId="79336FC3" w14:textId="77777777" w:rsidR="00D615F9" w:rsidRPr="00D615F9" w:rsidRDefault="00D615F9" w:rsidP="00035A93">
            <w:pPr>
              <w:rPr>
                <w:rFonts w:ascii="Ping LCG Regular" w:hAnsi="Ping LCG Regular" w:cs="Arial"/>
                <w:b/>
                <w:bCs/>
                <w:sz w:val="20"/>
                <w:szCs w:val="20"/>
                <w:lang w:val="el-GR"/>
              </w:rPr>
            </w:pPr>
            <w:r w:rsidRPr="00D12EF9">
              <w:rPr>
                <w:rFonts w:ascii="Ping LCG Regular" w:hAnsi="Ping LCG Regular" w:cs="Arial"/>
                <w:b/>
                <w:bCs/>
                <w:sz w:val="20"/>
                <w:szCs w:val="20"/>
              </w:rPr>
              <w:t>EBITDA</w:t>
            </w:r>
            <w:r w:rsidRPr="00D615F9">
              <w:rPr>
                <w:rFonts w:ascii="Ping LCG Regular" w:hAnsi="Ping LCG Regular" w:cs="Arial"/>
                <w:b/>
                <w:bCs/>
                <w:sz w:val="20"/>
                <w:szCs w:val="20"/>
                <w:lang w:val="el-GR"/>
              </w:rPr>
              <w:t xml:space="preserve"> ΕΠΑΝΑΛΑΜΒΑΝΟΜΕΝΟ ΧΩΡΙΣ ΕΦΑΠΑΞ ΕΠΙΠΤΩΣΕΙΣ (3) = [(1)+(2)]</w:t>
            </w:r>
          </w:p>
        </w:tc>
        <w:tc>
          <w:tcPr>
            <w:tcW w:w="1418" w:type="dxa"/>
            <w:tcBorders>
              <w:top w:val="single" w:sz="12" w:space="0" w:color="auto"/>
              <w:bottom w:val="single" w:sz="12" w:space="0" w:color="auto"/>
            </w:tcBorders>
            <w:noWrap/>
            <w:vAlign w:val="center"/>
          </w:tcPr>
          <w:p w14:paraId="45537843" w14:textId="77777777" w:rsidR="00D615F9" w:rsidRPr="00D615F9" w:rsidRDefault="00D615F9" w:rsidP="00035A93">
            <w:pPr>
              <w:jc w:val="right"/>
              <w:rPr>
                <w:rFonts w:ascii="Ping LCG Regular" w:hAnsi="Ping LCG Regular" w:cs="Arial"/>
                <w:b/>
                <w:bCs/>
                <w:sz w:val="20"/>
                <w:szCs w:val="20"/>
                <w:lang w:val="el-GR"/>
              </w:rPr>
            </w:pPr>
          </w:p>
          <w:p w14:paraId="2E3975E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936,8</w:t>
            </w:r>
          </w:p>
        </w:tc>
        <w:tc>
          <w:tcPr>
            <w:tcW w:w="1417" w:type="dxa"/>
            <w:tcBorders>
              <w:top w:val="single" w:sz="12" w:space="0" w:color="auto"/>
              <w:bottom w:val="single" w:sz="12" w:space="0" w:color="auto"/>
            </w:tcBorders>
            <w:noWrap/>
            <w:vAlign w:val="center"/>
          </w:tcPr>
          <w:p w14:paraId="6D6C4D3E" w14:textId="77777777" w:rsidR="00D615F9" w:rsidRPr="00D12EF9" w:rsidRDefault="00D615F9" w:rsidP="00035A93">
            <w:pPr>
              <w:jc w:val="right"/>
              <w:rPr>
                <w:rFonts w:ascii="Ping LCG Regular" w:hAnsi="Ping LCG Regular" w:cs="Arial"/>
                <w:b/>
                <w:bCs/>
                <w:sz w:val="20"/>
                <w:szCs w:val="20"/>
              </w:rPr>
            </w:pPr>
          </w:p>
          <w:p w14:paraId="6EDC442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644,2</w:t>
            </w:r>
          </w:p>
        </w:tc>
        <w:tc>
          <w:tcPr>
            <w:tcW w:w="1560" w:type="dxa"/>
            <w:tcBorders>
              <w:top w:val="single" w:sz="12" w:space="0" w:color="auto"/>
              <w:bottom w:val="single" w:sz="12" w:space="0" w:color="auto"/>
            </w:tcBorders>
            <w:noWrap/>
            <w:vAlign w:val="center"/>
          </w:tcPr>
          <w:p w14:paraId="1330478B" w14:textId="77777777" w:rsidR="00D615F9" w:rsidRPr="00D12EF9" w:rsidRDefault="00D615F9" w:rsidP="00035A93">
            <w:pPr>
              <w:jc w:val="right"/>
              <w:rPr>
                <w:rFonts w:ascii="Ping LCG Regular" w:hAnsi="Ping LCG Regular" w:cs="Arial"/>
                <w:b/>
                <w:bCs/>
                <w:sz w:val="20"/>
                <w:szCs w:val="20"/>
              </w:rPr>
            </w:pPr>
          </w:p>
          <w:p w14:paraId="3E35673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347,2</w:t>
            </w:r>
          </w:p>
        </w:tc>
        <w:tc>
          <w:tcPr>
            <w:tcW w:w="1275" w:type="dxa"/>
            <w:tcBorders>
              <w:top w:val="single" w:sz="12" w:space="0" w:color="auto"/>
              <w:bottom w:val="single" w:sz="12" w:space="0" w:color="auto"/>
              <w:right w:val="single" w:sz="12" w:space="0" w:color="auto"/>
            </w:tcBorders>
            <w:noWrap/>
            <w:vAlign w:val="center"/>
          </w:tcPr>
          <w:p w14:paraId="21C50937" w14:textId="77777777" w:rsidR="00D615F9" w:rsidRPr="00D12EF9" w:rsidRDefault="00D615F9" w:rsidP="00035A93">
            <w:pPr>
              <w:jc w:val="right"/>
              <w:rPr>
                <w:rFonts w:ascii="Ping LCG Regular" w:hAnsi="Ping LCG Regular" w:cs="Arial"/>
                <w:b/>
                <w:bCs/>
                <w:sz w:val="20"/>
                <w:szCs w:val="20"/>
              </w:rPr>
            </w:pPr>
          </w:p>
          <w:p w14:paraId="1EFF35D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215,0</w:t>
            </w:r>
          </w:p>
        </w:tc>
      </w:tr>
      <w:tr w:rsidR="00D615F9" w:rsidRPr="00D12EF9" w14:paraId="45B058B2" w14:textId="77777777" w:rsidTr="004C4F29">
        <w:trPr>
          <w:trHeight w:val="201"/>
        </w:trPr>
        <w:tc>
          <w:tcPr>
            <w:tcW w:w="3954" w:type="dxa"/>
            <w:tcBorders>
              <w:top w:val="single" w:sz="12" w:space="0" w:color="auto"/>
              <w:left w:val="single" w:sz="12" w:space="0" w:color="auto"/>
              <w:bottom w:val="single" w:sz="12" w:space="0" w:color="auto"/>
            </w:tcBorders>
            <w:hideMark/>
          </w:tcPr>
          <w:p w14:paraId="0F82609D"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xml:space="preserve">ΚΥΚΛΟΣ ΕΡΓΑΣΙΩΝ (4) </w:t>
            </w:r>
          </w:p>
        </w:tc>
        <w:tc>
          <w:tcPr>
            <w:tcW w:w="1418" w:type="dxa"/>
            <w:tcBorders>
              <w:top w:val="single" w:sz="12" w:space="0" w:color="auto"/>
              <w:bottom w:val="single" w:sz="12" w:space="0" w:color="auto"/>
            </w:tcBorders>
            <w:vAlign w:val="center"/>
          </w:tcPr>
          <w:p w14:paraId="17C1324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5.523,6</w:t>
            </w:r>
          </w:p>
        </w:tc>
        <w:tc>
          <w:tcPr>
            <w:tcW w:w="1417" w:type="dxa"/>
            <w:tcBorders>
              <w:top w:val="single" w:sz="12" w:space="0" w:color="auto"/>
              <w:bottom w:val="single" w:sz="12" w:space="0" w:color="auto"/>
            </w:tcBorders>
            <w:vAlign w:val="center"/>
          </w:tcPr>
          <w:p w14:paraId="69B21C4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8.562,8</w:t>
            </w:r>
          </w:p>
        </w:tc>
        <w:tc>
          <w:tcPr>
            <w:tcW w:w="1560" w:type="dxa"/>
            <w:tcBorders>
              <w:top w:val="single" w:sz="12" w:space="0" w:color="auto"/>
              <w:bottom w:val="single" w:sz="12" w:space="0" w:color="auto"/>
            </w:tcBorders>
            <w:vAlign w:val="center"/>
          </w:tcPr>
          <w:p w14:paraId="70F33411"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1.941,6</w:t>
            </w:r>
          </w:p>
        </w:tc>
        <w:tc>
          <w:tcPr>
            <w:tcW w:w="1275" w:type="dxa"/>
            <w:tcBorders>
              <w:top w:val="single" w:sz="12" w:space="0" w:color="auto"/>
              <w:bottom w:val="single" w:sz="12" w:space="0" w:color="auto"/>
              <w:right w:val="single" w:sz="12" w:space="0" w:color="auto"/>
            </w:tcBorders>
            <w:vAlign w:val="center"/>
          </w:tcPr>
          <w:p w14:paraId="3D21687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4.170,5</w:t>
            </w:r>
          </w:p>
        </w:tc>
      </w:tr>
      <w:tr w:rsidR="00D615F9" w:rsidRPr="00D12EF9" w14:paraId="368861BF" w14:textId="77777777" w:rsidTr="004C4F29">
        <w:trPr>
          <w:trHeight w:val="436"/>
        </w:trPr>
        <w:tc>
          <w:tcPr>
            <w:tcW w:w="3954" w:type="dxa"/>
            <w:tcBorders>
              <w:top w:val="single" w:sz="12" w:space="0" w:color="auto"/>
              <w:left w:val="single" w:sz="12" w:space="0" w:color="auto"/>
              <w:bottom w:val="single" w:sz="12" w:space="0" w:color="auto"/>
            </w:tcBorders>
            <w:hideMark/>
          </w:tcPr>
          <w:p w14:paraId="19476D7F"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 xml:space="preserve">ΠΕΡΙΘΩΡΙΟ </w:t>
            </w:r>
            <w:r w:rsidRPr="00D12EF9">
              <w:rPr>
                <w:rFonts w:ascii="Ping LCG Regular" w:hAnsi="Ping LCG Regular" w:cs="Arial"/>
                <w:b/>
                <w:bCs/>
                <w:sz w:val="20"/>
                <w:szCs w:val="20"/>
              </w:rPr>
              <w:t>EBITDA</w:t>
            </w:r>
            <w:r w:rsidRPr="00D615F9">
              <w:rPr>
                <w:rFonts w:ascii="Ping LCG Regular" w:hAnsi="Ping LCG Regular" w:cs="Arial"/>
                <w:b/>
                <w:bCs/>
                <w:sz w:val="20"/>
                <w:szCs w:val="20"/>
                <w:lang w:val="el-GR"/>
              </w:rPr>
              <w:t xml:space="preserve"> ΕΠΑΝΑΛΑΜΒΑΝΟΜΕΝΟ ΧΩΡΙΣ ΕΦΑΠΑΞ ΕΠΙΠΤΩΣΕΙΣ [(3)/(4)</w:t>
            </w:r>
          </w:p>
        </w:tc>
        <w:tc>
          <w:tcPr>
            <w:tcW w:w="1418" w:type="dxa"/>
            <w:tcBorders>
              <w:top w:val="single" w:sz="12" w:space="0" w:color="auto"/>
              <w:bottom w:val="single" w:sz="12" w:space="0" w:color="auto"/>
            </w:tcBorders>
            <w:vAlign w:val="center"/>
          </w:tcPr>
          <w:p w14:paraId="644069E4" w14:textId="77777777" w:rsidR="00D615F9" w:rsidRPr="00D615F9" w:rsidRDefault="00D615F9" w:rsidP="00035A93">
            <w:pPr>
              <w:jc w:val="right"/>
              <w:rPr>
                <w:rFonts w:ascii="Ping LCG Regular" w:hAnsi="Ping LCG Regular" w:cs="Arial"/>
                <w:b/>
                <w:bCs/>
                <w:sz w:val="20"/>
                <w:szCs w:val="20"/>
                <w:lang w:val="el-GR"/>
              </w:rPr>
            </w:pPr>
          </w:p>
          <w:p w14:paraId="162B37FB"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17,0%</w:t>
            </w:r>
          </w:p>
        </w:tc>
        <w:tc>
          <w:tcPr>
            <w:tcW w:w="1417" w:type="dxa"/>
            <w:tcBorders>
              <w:top w:val="single" w:sz="12" w:space="0" w:color="auto"/>
              <w:bottom w:val="single" w:sz="12" w:space="0" w:color="auto"/>
            </w:tcBorders>
            <w:vAlign w:val="center"/>
          </w:tcPr>
          <w:p w14:paraId="130F5E18" w14:textId="77777777" w:rsidR="00D615F9" w:rsidRPr="00D12EF9" w:rsidRDefault="00D615F9" w:rsidP="00035A93">
            <w:pPr>
              <w:jc w:val="right"/>
              <w:rPr>
                <w:rFonts w:ascii="Ping LCG Regular" w:hAnsi="Ping LCG Regular" w:cs="Arial"/>
                <w:b/>
                <w:bCs/>
                <w:sz w:val="20"/>
                <w:szCs w:val="20"/>
              </w:rPr>
            </w:pPr>
          </w:p>
          <w:p w14:paraId="4F99844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7,5%</w:t>
            </w:r>
          </w:p>
        </w:tc>
        <w:tc>
          <w:tcPr>
            <w:tcW w:w="1560" w:type="dxa"/>
            <w:tcBorders>
              <w:top w:val="single" w:sz="12" w:space="0" w:color="auto"/>
              <w:bottom w:val="single" w:sz="12" w:space="0" w:color="auto"/>
            </w:tcBorders>
            <w:vAlign w:val="center"/>
          </w:tcPr>
          <w:p w14:paraId="4F737AAB" w14:textId="77777777" w:rsidR="00D615F9" w:rsidRPr="00D12EF9" w:rsidRDefault="00D615F9" w:rsidP="00035A93">
            <w:pPr>
              <w:jc w:val="right"/>
              <w:rPr>
                <w:rFonts w:ascii="Ping LCG Regular" w:hAnsi="Ping LCG Regular" w:cs="Arial"/>
                <w:b/>
                <w:bCs/>
                <w:sz w:val="20"/>
                <w:szCs w:val="20"/>
              </w:rPr>
            </w:pPr>
          </w:p>
          <w:p w14:paraId="1C35CFC9"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17,9%</w:t>
            </w:r>
          </w:p>
        </w:tc>
        <w:tc>
          <w:tcPr>
            <w:tcW w:w="1275" w:type="dxa"/>
            <w:tcBorders>
              <w:top w:val="single" w:sz="12" w:space="0" w:color="auto"/>
              <w:bottom w:val="single" w:sz="12" w:space="0" w:color="auto"/>
              <w:right w:val="single" w:sz="12" w:space="0" w:color="auto"/>
            </w:tcBorders>
            <w:vAlign w:val="center"/>
          </w:tcPr>
          <w:p w14:paraId="57710771" w14:textId="77777777" w:rsidR="00D615F9" w:rsidRPr="00D12EF9" w:rsidRDefault="00D615F9" w:rsidP="00035A93">
            <w:pPr>
              <w:jc w:val="right"/>
              <w:rPr>
                <w:rFonts w:ascii="Ping LCG Regular" w:hAnsi="Ping LCG Regular" w:cs="Arial"/>
                <w:b/>
                <w:bCs/>
                <w:sz w:val="20"/>
                <w:szCs w:val="20"/>
              </w:rPr>
            </w:pPr>
          </w:p>
          <w:p w14:paraId="2637677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5,2%</w:t>
            </w:r>
          </w:p>
        </w:tc>
      </w:tr>
    </w:tbl>
    <w:p w14:paraId="693B0030" w14:textId="77777777" w:rsidR="004C4F29" w:rsidRPr="00D12EF9" w:rsidRDefault="004C4F29" w:rsidP="00D615F9">
      <w:pPr>
        <w:rPr>
          <w:rFonts w:ascii="Ping LCG Regular" w:hAnsi="Ping LCG Regular" w:cs="Arial"/>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8"/>
        <w:gridCol w:w="1276"/>
        <w:gridCol w:w="1275"/>
        <w:gridCol w:w="1560"/>
        <w:gridCol w:w="1275"/>
      </w:tblGrid>
      <w:tr w:rsidR="00D615F9" w:rsidRPr="00CB062B" w14:paraId="6F35552F" w14:textId="77777777" w:rsidTr="00035A93">
        <w:trPr>
          <w:trHeight w:val="255"/>
        </w:trPr>
        <w:tc>
          <w:tcPr>
            <w:tcW w:w="6789" w:type="dxa"/>
            <w:gridSpan w:val="3"/>
            <w:tcBorders>
              <w:top w:val="single" w:sz="12" w:space="0" w:color="auto"/>
              <w:bottom w:val="single" w:sz="12" w:space="0" w:color="auto"/>
            </w:tcBorders>
            <w:noWrap/>
            <w:hideMark/>
          </w:tcPr>
          <w:p w14:paraId="61D1AE43"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 xml:space="preserve">ΠΙΝΑΚΑΣ Δ. </w:t>
            </w:r>
            <w:r w:rsidRPr="00D12EF9">
              <w:rPr>
                <w:rFonts w:ascii="Ping LCG Regular" w:hAnsi="Ping LCG Regular" w:cs="Arial"/>
                <w:b/>
                <w:bCs/>
                <w:sz w:val="20"/>
                <w:szCs w:val="20"/>
              </w:rPr>
              <w:t>EBIT</w:t>
            </w:r>
            <w:r w:rsidRPr="00D615F9">
              <w:rPr>
                <w:rFonts w:ascii="Ping LCG Regular" w:hAnsi="Ping LCG Regular" w:cs="Arial"/>
                <w:b/>
                <w:bCs/>
                <w:sz w:val="20"/>
                <w:szCs w:val="20"/>
                <w:lang w:val="el-GR"/>
              </w:rPr>
              <w:t xml:space="preserve"> (Δείκτης λειτουργικών κερδών πριν από καθαρές χρηματοοικονομικές δαπάνες και φόρους)</w:t>
            </w:r>
          </w:p>
        </w:tc>
        <w:tc>
          <w:tcPr>
            <w:tcW w:w="1560" w:type="dxa"/>
            <w:tcBorders>
              <w:top w:val="single" w:sz="12" w:space="0" w:color="auto"/>
              <w:bottom w:val="single" w:sz="12" w:space="0" w:color="auto"/>
            </w:tcBorders>
            <w:noWrap/>
            <w:hideMark/>
          </w:tcPr>
          <w:p w14:paraId="44173A36" w14:textId="77777777" w:rsidR="00D615F9" w:rsidRPr="00D615F9" w:rsidRDefault="00D615F9" w:rsidP="00035A93">
            <w:pPr>
              <w:rPr>
                <w:rFonts w:ascii="Ping LCG Regular" w:hAnsi="Ping LCG Regular" w:cs="Arial"/>
                <w:sz w:val="20"/>
                <w:szCs w:val="20"/>
                <w:lang w:val="el-GR"/>
              </w:rPr>
            </w:pPr>
            <w:r w:rsidRPr="00D12EF9">
              <w:rPr>
                <w:rFonts w:ascii="Ping LCG Regular" w:hAnsi="Ping LCG Regular" w:cs="Arial"/>
                <w:sz w:val="20"/>
                <w:szCs w:val="20"/>
              </w:rPr>
              <w:t> </w:t>
            </w:r>
          </w:p>
        </w:tc>
        <w:tc>
          <w:tcPr>
            <w:tcW w:w="1275" w:type="dxa"/>
            <w:tcBorders>
              <w:top w:val="single" w:sz="12" w:space="0" w:color="auto"/>
              <w:bottom w:val="single" w:sz="12" w:space="0" w:color="auto"/>
            </w:tcBorders>
            <w:noWrap/>
            <w:hideMark/>
          </w:tcPr>
          <w:p w14:paraId="4A210122" w14:textId="77777777" w:rsidR="00D615F9" w:rsidRPr="00D615F9" w:rsidRDefault="00D615F9" w:rsidP="00035A93">
            <w:pPr>
              <w:rPr>
                <w:rFonts w:ascii="Ping LCG Regular" w:hAnsi="Ping LCG Regular" w:cs="Arial"/>
                <w:sz w:val="20"/>
                <w:szCs w:val="20"/>
                <w:lang w:val="el-GR"/>
              </w:rPr>
            </w:pPr>
            <w:r w:rsidRPr="00D12EF9">
              <w:rPr>
                <w:rFonts w:ascii="Ping LCG Regular" w:hAnsi="Ping LCG Regular" w:cs="Arial"/>
                <w:sz w:val="20"/>
                <w:szCs w:val="20"/>
              </w:rPr>
              <w:t> </w:t>
            </w:r>
          </w:p>
        </w:tc>
      </w:tr>
      <w:tr w:rsidR="00D615F9" w:rsidRPr="00D12EF9" w14:paraId="135117A1" w14:textId="77777777" w:rsidTr="00035A93">
        <w:trPr>
          <w:trHeight w:val="255"/>
        </w:trPr>
        <w:tc>
          <w:tcPr>
            <w:tcW w:w="4238" w:type="dxa"/>
            <w:tcBorders>
              <w:top w:val="single" w:sz="12" w:space="0" w:color="auto"/>
            </w:tcBorders>
            <w:noWrap/>
            <w:hideMark/>
          </w:tcPr>
          <w:p w14:paraId="6C11D220"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1276" w:type="dxa"/>
            <w:tcBorders>
              <w:top w:val="single" w:sz="12" w:space="0" w:color="auto"/>
              <w:bottom w:val="nil"/>
            </w:tcBorders>
            <w:noWrap/>
            <w:hideMark/>
          </w:tcPr>
          <w:p w14:paraId="02B6FEC1"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bottom w:val="nil"/>
            </w:tcBorders>
            <w:noWrap/>
            <w:hideMark/>
          </w:tcPr>
          <w:p w14:paraId="4157DF98"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560" w:type="dxa"/>
            <w:tcBorders>
              <w:top w:val="single" w:sz="12" w:space="0" w:color="auto"/>
              <w:bottom w:val="nil"/>
            </w:tcBorders>
            <w:noWrap/>
            <w:hideMark/>
          </w:tcPr>
          <w:p w14:paraId="6329ADE0"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bottom w:val="nil"/>
            </w:tcBorders>
            <w:noWrap/>
            <w:hideMark/>
          </w:tcPr>
          <w:p w14:paraId="51004B2E"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r>
      <w:tr w:rsidR="00D615F9" w:rsidRPr="00D12EF9" w14:paraId="0FCC5DEC" w14:textId="77777777" w:rsidTr="00035A93">
        <w:trPr>
          <w:trHeight w:val="270"/>
        </w:trPr>
        <w:tc>
          <w:tcPr>
            <w:tcW w:w="4238" w:type="dxa"/>
            <w:noWrap/>
            <w:hideMark/>
          </w:tcPr>
          <w:p w14:paraId="29042EE4"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5386" w:type="dxa"/>
            <w:gridSpan w:val="4"/>
            <w:tcBorders>
              <w:top w:val="nil"/>
              <w:bottom w:val="single" w:sz="12" w:space="0" w:color="auto"/>
            </w:tcBorders>
            <w:noWrap/>
            <w:hideMark/>
          </w:tcPr>
          <w:p w14:paraId="2087AB89" w14:textId="77777777" w:rsidR="00D615F9" w:rsidRPr="00D12EF9" w:rsidRDefault="00D615F9" w:rsidP="00035A93">
            <w:pPr>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r>
      <w:tr w:rsidR="00D615F9" w:rsidRPr="00D12EF9" w14:paraId="65CECFF7" w14:textId="77777777" w:rsidTr="004C4F29">
        <w:trPr>
          <w:trHeight w:val="270"/>
        </w:trPr>
        <w:tc>
          <w:tcPr>
            <w:tcW w:w="4238" w:type="dxa"/>
            <w:tcBorders>
              <w:right w:val="nil"/>
            </w:tcBorders>
            <w:hideMark/>
          </w:tcPr>
          <w:p w14:paraId="2E3BCE39"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 </w:t>
            </w:r>
          </w:p>
        </w:tc>
        <w:tc>
          <w:tcPr>
            <w:tcW w:w="1276" w:type="dxa"/>
            <w:tcBorders>
              <w:top w:val="single" w:sz="12" w:space="0" w:color="auto"/>
              <w:left w:val="nil"/>
              <w:bottom w:val="single" w:sz="12" w:space="0" w:color="auto"/>
              <w:right w:val="nil"/>
            </w:tcBorders>
            <w:shd w:val="clear" w:color="000000" w:fill="FFFFFF"/>
            <w:vAlign w:val="center"/>
            <w:hideMark/>
          </w:tcPr>
          <w:p w14:paraId="47632FFB"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01.01-30.09.2023</w:t>
            </w:r>
          </w:p>
        </w:tc>
        <w:tc>
          <w:tcPr>
            <w:tcW w:w="1275" w:type="dxa"/>
            <w:tcBorders>
              <w:top w:val="single" w:sz="12" w:space="0" w:color="auto"/>
              <w:left w:val="nil"/>
              <w:bottom w:val="single" w:sz="12" w:space="0" w:color="auto"/>
              <w:right w:val="nil"/>
            </w:tcBorders>
            <w:shd w:val="clear" w:color="000000" w:fill="FFFFFF"/>
            <w:vAlign w:val="center"/>
            <w:hideMark/>
          </w:tcPr>
          <w:p w14:paraId="433490C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01.01-30.09.2022</w:t>
            </w:r>
          </w:p>
        </w:tc>
        <w:tc>
          <w:tcPr>
            <w:tcW w:w="1560" w:type="dxa"/>
            <w:tcBorders>
              <w:top w:val="single" w:sz="12" w:space="0" w:color="auto"/>
              <w:left w:val="nil"/>
              <w:bottom w:val="single" w:sz="12" w:space="0" w:color="auto"/>
              <w:right w:val="nil"/>
            </w:tcBorders>
            <w:shd w:val="clear" w:color="000000" w:fill="FFFFFF"/>
            <w:vAlign w:val="center"/>
            <w:hideMark/>
          </w:tcPr>
          <w:p w14:paraId="52A28E36"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 xml:space="preserve"> 01.07-30.09.2023</w:t>
            </w:r>
          </w:p>
        </w:tc>
        <w:tc>
          <w:tcPr>
            <w:tcW w:w="1275" w:type="dxa"/>
            <w:tcBorders>
              <w:top w:val="single" w:sz="12" w:space="0" w:color="auto"/>
              <w:left w:val="nil"/>
              <w:bottom w:val="single" w:sz="12" w:space="0" w:color="auto"/>
              <w:right w:val="single" w:sz="12" w:space="0" w:color="auto"/>
            </w:tcBorders>
            <w:shd w:val="clear" w:color="000000" w:fill="FFFFFF"/>
            <w:vAlign w:val="center"/>
            <w:hideMark/>
          </w:tcPr>
          <w:p w14:paraId="413693B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 xml:space="preserve"> 01.07-30.09.2022</w:t>
            </w:r>
          </w:p>
        </w:tc>
      </w:tr>
      <w:tr w:rsidR="00D615F9" w:rsidRPr="00D12EF9" w14:paraId="03079670" w14:textId="77777777" w:rsidTr="004C4F29">
        <w:trPr>
          <w:trHeight w:val="186"/>
        </w:trPr>
        <w:tc>
          <w:tcPr>
            <w:tcW w:w="4238" w:type="dxa"/>
            <w:hideMark/>
          </w:tcPr>
          <w:p w14:paraId="4A0D1ECE"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EBITDA</w:t>
            </w:r>
          </w:p>
        </w:tc>
        <w:tc>
          <w:tcPr>
            <w:tcW w:w="1276" w:type="dxa"/>
            <w:tcBorders>
              <w:top w:val="single" w:sz="12" w:space="0" w:color="auto"/>
            </w:tcBorders>
            <w:vAlign w:val="center"/>
          </w:tcPr>
          <w:p w14:paraId="7463AA2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915,5</w:t>
            </w:r>
          </w:p>
        </w:tc>
        <w:tc>
          <w:tcPr>
            <w:tcW w:w="1275" w:type="dxa"/>
            <w:tcBorders>
              <w:top w:val="single" w:sz="12" w:space="0" w:color="auto"/>
            </w:tcBorders>
            <w:vAlign w:val="center"/>
          </w:tcPr>
          <w:p w14:paraId="2E82F0B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368,2</w:t>
            </w:r>
          </w:p>
        </w:tc>
        <w:tc>
          <w:tcPr>
            <w:tcW w:w="1560" w:type="dxa"/>
            <w:tcBorders>
              <w:top w:val="single" w:sz="12" w:space="0" w:color="auto"/>
            </w:tcBorders>
            <w:vAlign w:val="center"/>
          </w:tcPr>
          <w:p w14:paraId="705A250D"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337,3</w:t>
            </w:r>
          </w:p>
        </w:tc>
        <w:tc>
          <w:tcPr>
            <w:tcW w:w="1275" w:type="dxa"/>
            <w:tcBorders>
              <w:top w:val="single" w:sz="12" w:space="0" w:color="auto"/>
            </w:tcBorders>
            <w:vAlign w:val="center"/>
          </w:tcPr>
          <w:p w14:paraId="4D4C4BD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(61,1)</w:t>
            </w:r>
          </w:p>
        </w:tc>
      </w:tr>
      <w:tr w:rsidR="00D615F9" w:rsidRPr="00D12EF9" w14:paraId="7B905D16" w14:textId="77777777" w:rsidTr="004C4F29">
        <w:trPr>
          <w:trHeight w:val="255"/>
        </w:trPr>
        <w:tc>
          <w:tcPr>
            <w:tcW w:w="4238" w:type="dxa"/>
            <w:hideMark/>
          </w:tcPr>
          <w:p w14:paraId="5522F3CB" w14:textId="77777777" w:rsidR="00D615F9" w:rsidRPr="00D12EF9" w:rsidRDefault="00D615F9" w:rsidP="00035A93">
            <w:pPr>
              <w:rPr>
                <w:rFonts w:ascii="Ping LCG Regular" w:hAnsi="Ping LCG Regular" w:cs="Arial"/>
                <w:sz w:val="20"/>
                <w:szCs w:val="20"/>
                <w:u w:val="single"/>
              </w:rPr>
            </w:pPr>
            <w:r w:rsidRPr="00D12EF9">
              <w:rPr>
                <w:rFonts w:ascii="Ping LCG Regular" w:hAnsi="Ping LCG Regular" w:cs="Arial"/>
                <w:sz w:val="20"/>
                <w:szCs w:val="20"/>
                <w:u w:val="single"/>
              </w:rPr>
              <w:t>μείον :</w:t>
            </w:r>
          </w:p>
        </w:tc>
        <w:tc>
          <w:tcPr>
            <w:tcW w:w="1276" w:type="dxa"/>
            <w:vAlign w:val="center"/>
          </w:tcPr>
          <w:p w14:paraId="38EF99ED" w14:textId="77777777" w:rsidR="00D615F9" w:rsidRPr="00D12EF9" w:rsidRDefault="00D615F9" w:rsidP="00035A93">
            <w:pPr>
              <w:jc w:val="right"/>
              <w:rPr>
                <w:rFonts w:ascii="Ping LCG Regular" w:hAnsi="Ping LCG Regular" w:cs="Arial"/>
                <w:sz w:val="20"/>
                <w:szCs w:val="20"/>
                <w:u w:val="single"/>
              </w:rPr>
            </w:pPr>
          </w:p>
        </w:tc>
        <w:tc>
          <w:tcPr>
            <w:tcW w:w="1275" w:type="dxa"/>
            <w:vAlign w:val="center"/>
          </w:tcPr>
          <w:p w14:paraId="5AF0E825" w14:textId="77777777" w:rsidR="00D615F9" w:rsidRPr="00D12EF9" w:rsidRDefault="00D615F9" w:rsidP="00035A93">
            <w:pPr>
              <w:jc w:val="right"/>
              <w:rPr>
                <w:rFonts w:ascii="Ping LCG Regular" w:hAnsi="Ping LCG Regular" w:cs="Arial"/>
                <w:b/>
                <w:bCs/>
                <w:sz w:val="20"/>
                <w:szCs w:val="20"/>
              </w:rPr>
            </w:pPr>
          </w:p>
        </w:tc>
        <w:tc>
          <w:tcPr>
            <w:tcW w:w="1560" w:type="dxa"/>
            <w:vAlign w:val="center"/>
          </w:tcPr>
          <w:p w14:paraId="6706C57B" w14:textId="77777777" w:rsidR="00D615F9" w:rsidRPr="00D12EF9" w:rsidRDefault="00D615F9" w:rsidP="00035A93">
            <w:pPr>
              <w:jc w:val="right"/>
              <w:rPr>
                <w:rFonts w:ascii="Ping LCG Regular" w:hAnsi="Ping LCG Regular" w:cs="Arial"/>
                <w:b/>
                <w:bCs/>
                <w:sz w:val="20"/>
                <w:szCs w:val="20"/>
              </w:rPr>
            </w:pPr>
          </w:p>
        </w:tc>
        <w:tc>
          <w:tcPr>
            <w:tcW w:w="1275" w:type="dxa"/>
            <w:vAlign w:val="center"/>
          </w:tcPr>
          <w:p w14:paraId="09D2EB0F" w14:textId="77777777" w:rsidR="00D615F9" w:rsidRPr="00D12EF9" w:rsidRDefault="00D615F9" w:rsidP="00035A93">
            <w:pPr>
              <w:jc w:val="right"/>
              <w:rPr>
                <w:rFonts w:ascii="Ping LCG Regular" w:hAnsi="Ping LCG Regular" w:cs="Arial"/>
                <w:b/>
                <w:bCs/>
                <w:sz w:val="20"/>
                <w:szCs w:val="20"/>
              </w:rPr>
            </w:pPr>
          </w:p>
        </w:tc>
      </w:tr>
      <w:tr w:rsidR="00D615F9" w:rsidRPr="00D12EF9" w14:paraId="189D96FB" w14:textId="77777777" w:rsidTr="004C4F29">
        <w:trPr>
          <w:trHeight w:val="227"/>
        </w:trPr>
        <w:tc>
          <w:tcPr>
            <w:tcW w:w="4238" w:type="dxa"/>
            <w:hideMark/>
          </w:tcPr>
          <w:p w14:paraId="6C500F7F"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Αποσβέσεις</w:t>
            </w:r>
          </w:p>
        </w:tc>
        <w:tc>
          <w:tcPr>
            <w:tcW w:w="1276" w:type="dxa"/>
            <w:vAlign w:val="center"/>
          </w:tcPr>
          <w:p w14:paraId="566F7AB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464,0</w:t>
            </w:r>
          </w:p>
        </w:tc>
        <w:tc>
          <w:tcPr>
            <w:tcW w:w="1275" w:type="dxa"/>
            <w:vAlign w:val="center"/>
          </w:tcPr>
          <w:p w14:paraId="0DC48B64" w14:textId="77777777" w:rsidR="00D615F9" w:rsidRPr="00D12EF9" w:rsidRDefault="00D615F9" w:rsidP="00035A93">
            <w:pPr>
              <w:jc w:val="right"/>
              <w:rPr>
                <w:rFonts w:ascii="Ping LCG Regular" w:hAnsi="Ping LCG Regular" w:cs="Arial"/>
                <w:sz w:val="20"/>
                <w:szCs w:val="20"/>
                <w:highlight w:val="yellow"/>
              </w:rPr>
            </w:pPr>
            <w:r w:rsidRPr="00D12EF9">
              <w:rPr>
                <w:rFonts w:ascii="Ping LCG Regular" w:hAnsi="Ping LCG Regular" w:cs="Arial"/>
                <w:sz w:val="20"/>
                <w:szCs w:val="20"/>
              </w:rPr>
              <w:t>504,0</w:t>
            </w:r>
          </w:p>
        </w:tc>
        <w:tc>
          <w:tcPr>
            <w:tcW w:w="1560" w:type="dxa"/>
            <w:tcBorders>
              <w:top w:val="nil"/>
              <w:left w:val="nil"/>
              <w:bottom w:val="nil"/>
              <w:right w:val="nil"/>
            </w:tcBorders>
            <w:shd w:val="clear" w:color="000000" w:fill="FFFFFF"/>
            <w:vAlign w:val="center"/>
          </w:tcPr>
          <w:p w14:paraId="48242FE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157,0</w:t>
            </w:r>
          </w:p>
        </w:tc>
        <w:tc>
          <w:tcPr>
            <w:tcW w:w="1275" w:type="dxa"/>
            <w:vAlign w:val="center"/>
          </w:tcPr>
          <w:p w14:paraId="2F4F849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170,8</w:t>
            </w:r>
          </w:p>
        </w:tc>
      </w:tr>
      <w:tr w:rsidR="00D615F9" w:rsidRPr="00D12EF9" w14:paraId="7FF21B59" w14:textId="77777777" w:rsidTr="004C4F29">
        <w:trPr>
          <w:trHeight w:val="227"/>
        </w:trPr>
        <w:tc>
          <w:tcPr>
            <w:tcW w:w="4238" w:type="dxa"/>
            <w:tcBorders>
              <w:bottom w:val="nil"/>
            </w:tcBorders>
            <w:hideMark/>
          </w:tcPr>
          <w:p w14:paraId="70B5C8AA" w14:textId="77777777" w:rsidR="00D615F9" w:rsidRPr="00D615F9" w:rsidRDefault="00D615F9" w:rsidP="00035A93">
            <w:pPr>
              <w:rPr>
                <w:rFonts w:ascii="Ping LCG Regular" w:hAnsi="Ping LCG Regular" w:cs="Arial"/>
                <w:sz w:val="20"/>
                <w:szCs w:val="20"/>
                <w:lang w:val="el-GR"/>
              </w:rPr>
            </w:pPr>
            <w:r w:rsidRPr="00D615F9">
              <w:rPr>
                <w:rFonts w:ascii="Ping LCG Regular" w:hAnsi="Ping LCG Regular" w:cs="Arial"/>
                <w:sz w:val="20"/>
                <w:szCs w:val="20"/>
                <w:lang w:val="el-GR"/>
              </w:rPr>
              <w:t>Προβλέψεις από υποαξίες περιουσιακών στοιχείων</w:t>
            </w:r>
          </w:p>
        </w:tc>
        <w:tc>
          <w:tcPr>
            <w:tcW w:w="1276" w:type="dxa"/>
            <w:tcBorders>
              <w:bottom w:val="nil"/>
            </w:tcBorders>
            <w:vAlign w:val="center"/>
          </w:tcPr>
          <w:p w14:paraId="08E0056B"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5,4</w:t>
            </w:r>
          </w:p>
        </w:tc>
        <w:tc>
          <w:tcPr>
            <w:tcW w:w="1275" w:type="dxa"/>
            <w:tcBorders>
              <w:bottom w:val="nil"/>
            </w:tcBorders>
            <w:vAlign w:val="center"/>
          </w:tcPr>
          <w:p w14:paraId="153C7D77" w14:textId="77777777" w:rsidR="00D615F9" w:rsidRPr="00D12EF9" w:rsidRDefault="00D615F9" w:rsidP="00035A93">
            <w:pPr>
              <w:jc w:val="right"/>
              <w:rPr>
                <w:rFonts w:ascii="Ping LCG Regular" w:hAnsi="Ping LCG Regular" w:cs="Arial"/>
                <w:sz w:val="20"/>
                <w:szCs w:val="20"/>
                <w:highlight w:val="yellow"/>
              </w:rPr>
            </w:pPr>
            <w:r w:rsidRPr="00D12EF9">
              <w:rPr>
                <w:rFonts w:ascii="Ping LCG Regular" w:hAnsi="Ping LCG Regular" w:cs="Arial"/>
                <w:sz w:val="20"/>
                <w:szCs w:val="20"/>
              </w:rPr>
              <w:t>(142,0)</w:t>
            </w:r>
          </w:p>
        </w:tc>
        <w:tc>
          <w:tcPr>
            <w:tcW w:w="1560" w:type="dxa"/>
            <w:tcBorders>
              <w:top w:val="nil"/>
              <w:left w:val="nil"/>
              <w:bottom w:val="nil"/>
              <w:right w:val="nil"/>
            </w:tcBorders>
            <w:shd w:val="clear" w:color="000000" w:fill="FFFFFF"/>
            <w:vAlign w:val="center"/>
          </w:tcPr>
          <w:p w14:paraId="4CA5FC6C"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w:t>
            </w:r>
          </w:p>
        </w:tc>
        <w:tc>
          <w:tcPr>
            <w:tcW w:w="1275" w:type="dxa"/>
            <w:tcBorders>
              <w:bottom w:val="nil"/>
            </w:tcBorders>
            <w:vAlign w:val="center"/>
          </w:tcPr>
          <w:p w14:paraId="16D18BE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(144,8)</w:t>
            </w:r>
          </w:p>
        </w:tc>
      </w:tr>
      <w:tr w:rsidR="00D615F9" w:rsidRPr="00D12EF9" w14:paraId="3BCAB3B7" w14:textId="77777777" w:rsidTr="004C4F29">
        <w:trPr>
          <w:trHeight w:val="222"/>
        </w:trPr>
        <w:tc>
          <w:tcPr>
            <w:tcW w:w="4238" w:type="dxa"/>
            <w:tcBorders>
              <w:top w:val="single" w:sz="12" w:space="0" w:color="auto"/>
              <w:bottom w:val="single" w:sz="12" w:space="0" w:color="auto"/>
            </w:tcBorders>
            <w:hideMark/>
          </w:tcPr>
          <w:p w14:paraId="06102922"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ΕΒΙΤ (Α)</w:t>
            </w:r>
          </w:p>
        </w:tc>
        <w:tc>
          <w:tcPr>
            <w:tcW w:w="1276" w:type="dxa"/>
            <w:tcBorders>
              <w:top w:val="single" w:sz="12" w:space="0" w:color="auto"/>
              <w:bottom w:val="single" w:sz="12" w:space="0" w:color="auto"/>
            </w:tcBorders>
            <w:vAlign w:val="center"/>
          </w:tcPr>
          <w:p w14:paraId="3506C44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446,1</w:t>
            </w:r>
          </w:p>
        </w:tc>
        <w:tc>
          <w:tcPr>
            <w:tcW w:w="1275" w:type="dxa"/>
            <w:tcBorders>
              <w:top w:val="single" w:sz="12" w:space="0" w:color="auto"/>
              <w:bottom w:val="single" w:sz="12" w:space="0" w:color="auto"/>
            </w:tcBorders>
            <w:vAlign w:val="center"/>
          </w:tcPr>
          <w:p w14:paraId="5FA5E51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6,2</w:t>
            </w:r>
          </w:p>
        </w:tc>
        <w:tc>
          <w:tcPr>
            <w:tcW w:w="1560" w:type="dxa"/>
            <w:tcBorders>
              <w:top w:val="single" w:sz="12" w:space="0" w:color="auto"/>
              <w:bottom w:val="single" w:sz="12" w:space="0" w:color="auto"/>
            </w:tcBorders>
            <w:vAlign w:val="center"/>
          </w:tcPr>
          <w:p w14:paraId="7A5172E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180,3</w:t>
            </w:r>
          </w:p>
        </w:tc>
        <w:tc>
          <w:tcPr>
            <w:tcW w:w="1275" w:type="dxa"/>
            <w:tcBorders>
              <w:top w:val="single" w:sz="12" w:space="0" w:color="auto"/>
              <w:bottom w:val="single" w:sz="12" w:space="0" w:color="auto"/>
            </w:tcBorders>
            <w:vAlign w:val="center"/>
          </w:tcPr>
          <w:p w14:paraId="21B1C476"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(87,0)</w:t>
            </w:r>
          </w:p>
        </w:tc>
      </w:tr>
      <w:tr w:rsidR="00D615F9" w:rsidRPr="00D12EF9" w14:paraId="50417363" w14:textId="77777777" w:rsidTr="004C4F29">
        <w:trPr>
          <w:trHeight w:val="213"/>
        </w:trPr>
        <w:tc>
          <w:tcPr>
            <w:tcW w:w="4238" w:type="dxa"/>
            <w:tcBorders>
              <w:top w:val="single" w:sz="12" w:space="0" w:color="auto"/>
              <w:bottom w:val="single" w:sz="12" w:space="0" w:color="auto"/>
            </w:tcBorders>
            <w:hideMark/>
          </w:tcPr>
          <w:p w14:paraId="6A5D4CF1"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Κύκλος Εργασιών (1)</w:t>
            </w:r>
          </w:p>
        </w:tc>
        <w:tc>
          <w:tcPr>
            <w:tcW w:w="1276" w:type="dxa"/>
            <w:tcBorders>
              <w:top w:val="single" w:sz="12" w:space="0" w:color="auto"/>
              <w:bottom w:val="single" w:sz="12" w:space="0" w:color="auto"/>
            </w:tcBorders>
            <w:vAlign w:val="center"/>
          </w:tcPr>
          <w:p w14:paraId="185DB51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5.523,6</w:t>
            </w:r>
          </w:p>
        </w:tc>
        <w:tc>
          <w:tcPr>
            <w:tcW w:w="1275" w:type="dxa"/>
            <w:tcBorders>
              <w:top w:val="single" w:sz="12" w:space="0" w:color="auto"/>
              <w:bottom w:val="single" w:sz="12" w:space="0" w:color="auto"/>
            </w:tcBorders>
            <w:vAlign w:val="center"/>
          </w:tcPr>
          <w:p w14:paraId="5DF9BACD"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8.562,8</w:t>
            </w:r>
          </w:p>
        </w:tc>
        <w:tc>
          <w:tcPr>
            <w:tcW w:w="1560" w:type="dxa"/>
            <w:tcBorders>
              <w:top w:val="single" w:sz="12" w:space="0" w:color="auto"/>
              <w:bottom w:val="single" w:sz="12" w:space="0" w:color="auto"/>
            </w:tcBorders>
            <w:vAlign w:val="center"/>
          </w:tcPr>
          <w:p w14:paraId="50803D3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1.941,6</w:t>
            </w:r>
          </w:p>
        </w:tc>
        <w:tc>
          <w:tcPr>
            <w:tcW w:w="1275" w:type="dxa"/>
            <w:tcBorders>
              <w:top w:val="single" w:sz="12" w:space="0" w:color="auto"/>
              <w:bottom w:val="single" w:sz="12" w:space="0" w:color="auto"/>
            </w:tcBorders>
            <w:vAlign w:val="center"/>
          </w:tcPr>
          <w:p w14:paraId="62B837C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4.170,5</w:t>
            </w:r>
          </w:p>
        </w:tc>
      </w:tr>
      <w:tr w:rsidR="00D615F9" w:rsidRPr="00D12EF9" w14:paraId="18DB6FD2" w14:textId="77777777" w:rsidTr="004C4F29">
        <w:trPr>
          <w:trHeight w:val="199"/>
        </w:trPr>
        <w:tc>
          <w:tcPr>
            <w:tcW w:w="4238" w:type="dxa"/>
            <w:tcBorders>
              <w:top w:val="single" w:sz="12" w:space="0" w:color="auto"/>
            </w:tcBorders>
            <w:hideMark/>
          </w:tcPr>
          <w:p w14:paraId="79F4747A"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ΠΕΡΙΘΩΡΙΟ EBIT [(Α) / (1)]</w:t>
            </w:r>
          </w:p>
        </w:tc>
        <w:tc>
          <w:tcPr>
            <w:tcW w:w="1276" w:type="dxa"/>
            <w:tcBorders>
              <w:top w:val="single" w:sz="12" w:space="0" w:color="auto"/>
            </w:tcBorders>
            <w:vAlign w:val="center"/>
          </w:tcPr>
          <w:p w14:paraId="3225728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8,1%</w:t>
            </w:r>
          </w:p>
        </w:tc>
        <w:tc>
          <w:tcPr>
            <w:tcW w:w="1275" w:type="dxa"/>
            <w:tcBorders>
              <w:top w:val="single" w:sz="12" w:space="0" w:color="auto"/>
            </w:tcBorders>
            <w:vAlign w:val="center"/>
          </w:tcPr>
          <w:p w14:paraId="61A7181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0,1%</w:t>
            </w:r>
          </w:p>
        </w:tc>
        <w:tc>
          <w:tcPr>
            <w:tcW w:w="1560" w:type="dxa"/>
            <w:tcBorders>
              <w:top w:val="single" w:sz="12" w:space="0" w:color="auto"/>
            </w:tcBorders>
            <w:vAlign w:val="center"/>
          </w:tcPr>
          <w:p w14:paraId="6253A735"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9,3%</w:t>
            </w:r>
          </w:p>
        </w:tc>
        <w:tc>
          <w:tcPr>
            <w:tcW w:w="1275" w:type="dxa"/>
            <w:tcBorders>
              <w:top w:val="single" w:sz="12" w:space="0" w:color="auto"/>
            </w:tcBorders>
            <w:vAlign w:val="center"/>
          </w:tcPr>
          <w:p w14:paraId="3E428454"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(2,1%)</w:t>
            </w:r>
          </w:p>
        </w:tc>
      </w:tr>
    </w:tbl>
    <w:p w14:paraId="355D94F2" w14:textId="77777777" w:rsidR="00D615F9" w:rsidRDefault="00D615F9" w:rsidP="00D615F9">
      <w:pPr>
        <w:rPr>
          <w:rFonts w:ascii="Ping LCG Regular" w:hAnsi="Ping LCG Regular" w:cs="Arial"/>
          <w:sz w:val="20"/>
          <w:szCs w:val="20"/>
        </w:rPr>
      </w:pPr>
    </w:p>
    <w:p w14:paraId="1422ADF0" w14:textId="77777777" w:rsidR="00D615F9" w:rsidRPr="00D12EF9" w:rsidRDefault="00D615F9" w:rsidP="00D615F9">
      <w:pPr>
        <w:rPr>
          <w:rFonts w:ascii="Ping LCG Regular" w:hAnsi="Ping LCG Regular" w:cs="Arial"/>
          <w:sz w:val="20"/>
          <w:szCs w:val="20"/>
        </w:rPr>
      </w:pPr>
    </w:p>
    <w:p w14:paraId="11779CC4" w14:textId="77777777" w:rsidR="00D615F9" w:rsidRPr="00D12EF9" w:rsidRDefault="00D615F9" w:rsidP="00D615F9">
      <w:pPr>
        <w:rPr>
          <w:rFonts w:ascii="Ping LCG Regular" w:hAnsi="Ping LCG Regular" w:cs="Arial"/>
          <w:sz w:val="20"/>
          <w:szCs w:val="20"/>
        </w:rPr>
      </w:pPr>
    </w:p>
    <w:p w14:paraId="34C5D71B" w14:textId="77777777" w:rsidR="00D615F9" w:rsidRPr="00D12EF9" w:rsidRDefault="00D615F9" w:rsidP="00D615F9">
      <w:pPr>
        <w:rPr>
          <w:rFonts w:ascii="Ping LCG Regular" w:hAnsi="Ping LCG Regular" w:cs="Arial"/>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8"/>
        <w:gridCol w:w="1276"/>
        <w:gridCol w:w="1275"/>
        <w:gridCol w:w="1560"/>
        <w:gridCol w:w="1275"/>
      </w:tblGrid>
      <w:tr w:rsidR="00D615F9" w:rsidRPr="00CB062B" w14:paraId="5F9A0719" w14:textId="77777777" w:rsidTr="00035A93">
        <w:trPr>
          <w:trHeight w:val="255"/>
        </w:trPr>
        <w:tc>
          <w:tcPr>
            <w:tcW w:w="8349" w:type="dxa"/>
            <w:gridSpan w:val="4"/>
            <w:tcBorders>
              <w:top w:val="single" w:sz="12" w:space="0" w:color="auto"/>
              <w:bottom w:val="single" w:sz="12" w:space="0" w:color="auto"/>
            </w:tcBorders>
            <w:noWrap/>
            <w:hideMark/>
          </w:tcPr>
          <w:p w14:paraId="24DA00B9" w14:textId="77777777" w:rsidR="00D615F9" w:rsidRPr="00D615F9" w:rsidRDefault="00D615F9" w:rsidP="00035A93">
            <w:pPr>
              <w:rPr>
                <w:rFonts w:ascii="Ping LCG Regular" w:hAnsi="Ping LCG Regular" w:cs="Arial"/>
                <w:b/>
                <w:bCs/>
                <w:sz w:val="20"/>
                <w:szCs w:val="20"/>
                <w:lang w:val="el-GR"/>
              </w:rPr>
            </w:pPr>
            <w:r w:rsidRPr="00D615F9">
              <w:rPr>
                <w:rFonts w:ascii="Ping LCG Regular" w:hAnsi="Ping LCG Regular" w:cs="Arial"/>
                <w:b/>
                <w:bCs/>
                <w:sz w:val="20"/>
                <w:szCs w:val="20"/>
                <w:lang w:val="el-GR"/>
              </w:rPr>
              <w:t>ΠΙΝΑΚΑΣ Ε. ΚΑΘΑΡΟ ΠΟΣΟ ΑΠΟΣΒΕΣΕΩΝ, ΧΡΗΜΑΤΟΟΙΚΟΝΟΜΙΚΩΝ ΔΑΠΑΝΩΝ ΚΑΙ ΚΕΡΔΩΝ ΑΠΌ ΣΥΓΓΕΝΕΙΣ ΕΤΑΙΡΕΙΕΣ</w:t>
            </w:r>
          </w:p>
        </w:tc>
        <w:tc>
          <w:tcPr>
            <w:tcW w:w="1275" w:type="dxa"/>
            <w:tcBorders>
              <w:top w:val="single" w:sz="12" w:space="0" w:color="auto"/>
              <w:bottom w:val="single" w:sz="12" w:space="0" w:color="auto"/>
            </w:tcBorders>
            <w:noWrap/>
            <w:hideMark/>
          </w:tcPr>
          <w:p w14:paraId="5A5A91D9" w14:textId="77777777" w:rsidR="00D615F9" w:rsidRPr="00D615F9" w:rsidRDefault="00D615F9" w:rsidP="00035A93">
            <w:pPr>
              <w:rPr>
                <w:rFonts w:ascii="Ping LCG Regular" w:hAnsi="Ping LCG Regular" w:cs="Arial"/>
                <w:sz w:val="20"/>
                <w:szCs w:val="20"/>
                <w:lang w:val="el-GR"/>
              </w:rPr>
            </w:pPr>
            <w:r w:rsidRPr="00D12EF9">
              <w:rPr>
                <w:rFonts w:ascii="Ping LCG Regular" w:hAnsi="Ping LCG Regular" w:cs="Arial"/>
                <w:sz w:val="20"/>
                <w:szCs w:val="20"/>
              </w:rPr>
              <w:t> </w:t>
            </w:r>
          </w:p>
        </w:tc>
      </w:tr>
      <w:tr w:rsidR="00D615F9" w:rsidRPr="00D12EF9" w14:paraId="660D6C74" w14:textId="77777777" w:rsidTr="00035A93">
        <w:trPr>
          <w:trHeight w:val="255"/>
        </w:trPr>
        <w:tc>
          <w:tcPr>
            <w:tcW w:w="4238" w:type="dxa"/>
            <w:tcBorders>
              <w:top w:val="single" w:sz="12" w:space="0" w:color="auto"/>
            </w:tcBorders>
            <w:noWrap/>
            <w:hideMark/>
          </w:tcPr>
          <w:p w14:paraId="330F3F0C" w14:textId="77777777" w:rsidR="00D615F9" w:rsidRPr="00D12EF9" w:rsidRDefault="00D615F9" w:rsidP="00035A93">
            <w:pPr>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1276" w:type="dxa"/>
            <w:tcBorders>
              <w:top w:val="single" w:sz="12" w:space="0" w:color="auto"/>
            </w:tcBorders>
            <w:noWrap/>
            <w:hideMark/>
          </w:tcPr>
          <w:p w14:paraId="6AF27797"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tcBorders>
            <w:noWrap/>
            <w:hideMark/>
          </w:tcPr>
          <w:p w14:paraId="72E2B997"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560" w:type="dxa"/>
            <w:tcBorders>
              <w:top w:val="single" w:sz="12" w:space="0" w:color="auto"/>
            </w:tcBorders>
            <w:noWrap/>
            <w:hideMark/>
          </w:tcPr>
          <w:p w14:paraId="7EF6B8AF"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1275" w:type="dxa"/>
            <w:tcBorders>
              <w:top w:val="single" w:sz="12" w:space="0" w:color="auto"/>
            </w:tcBorders>
            <w:noWrap/>
            <w:hideMark/>
          </w:tcPr>
          <w:p w14:paraId="5A1801E4"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r>
      <w:tr w:rsidR="00D615F9" w:rsidRPr="00D12EF9" w14:paraId="279BD924" w14:textId="77777777" w:rsidTr="00035A93">
        <w:trPr>
          <w:trHeight w:val="270"/>
        </w:trPr>
        <w:tc>
          <w:tcPr>
            <w:tcW w:w="4238" w:type="dxa"/>
            <w:noWrap/>
            <w:hideMark/>
          </w:tcPr>
          <w:p w14:paraId="2C069C2C"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w:t>
            </w:r>
          </w:p>
        </w:tc>
        <w:tc>
          <w:tcPr>
            <w:tcW w:w="5386" w:type="dxa"/>
            <w:gridSpan w:val="4"/>
            <w:tcBorders>
              <w:top w:val="nil"/>
              <w:bottom w:val="single" w:sz="12" w:space="0" w:color="auto"/>
            </w:tcBorders>
            <w:noWrap/>
            <w:hideMark/>
          </w:tcPr>
          <w:p w14:paraId="14A20B65" w14:textId="77777777" w:rsidR="00D615F9" w:rsidRPr="00D12EF9" w:rsidRDefault="00D615F9" w:rsidP="00035A93">
            <w:pPr>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r>
      <w:tr w:rsidR="00D615F9" w:rsidRPr="00D12EF9" w14:paraId="25E091A2" w14:textId="77777777" w:rsidTr="004C4F29">
        <w:trPr>
          <w:trHeight w:val="270"/>
        </w:trPr>
        <w:tc>
          <w:tcPr>
            <w:tcW w:w="4238" w:type="dxa"/>
            <w:hideMark/>
          </w:tcPr>
          <w:p w14:paraId="20E5FD71"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lastRenderedPageBreak/>
              <w:t> </w:t>
            </w:r>
          </w:p>
        </w:tc>
        <w:tc>
          <w:tcPr>
            <w:tcW w:w="1276" w:type="dxa"/>
            <w:tcBorders>
              <w:top w:val="single" w:sz="12" w:space="0" w:color="auto"/>
              <w:bottom w:val="single" w:sz="12" w:space="0" w:color="auto"/>
            </w:tcBorders>
            <w:vAlign w:val="center"/>
            <w:hideMark/>
          </w:tcPr>
          <w:p w14:paraId="323896D8"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01.01-30.09.2023</w:t>
            </w:r>
          </w:p>
        </w:tc>
        <w:tc>
          <w:tcPr>
            <w:tcW w:w="1275" w:type="dxa"/>
            <w:tcBorders>
              <w:top w:val="single" w:sz="12" w:space="0" w:color="auto"/>
              <w:bottom w:val="single" w:sz="12" w:space="0" w:color="auto"/>
            </w:tcBorders>
            <w:vAlign w:val="center"/>
            <w:hideMark/>
          </w:tcPr>
          <w:p w14:paraId="3FFF9830"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01.01-30.09.2022</w:t>
            </w:r>
          </w:p>
        </w:tc>
        <w:tc>
          <w:tcPr>
            <w:tcW w:w="1560" w:type="dxa"/>
            <w:tcBorders>
              <w:top w:val="single" w:sz="12" w:space="0" w:color="auto"/>
              <w:bottom w:val="single" w:sz="12" w:space="0" w:color="auto"/>
            </w:tcBorders>
            <w:vAlign w:val="center"/>
            <w:hideMark/>
          </w:tcPr>
          <w:p w14:paraId="4B7E3A5C"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 xml:space="preserve"> 01.07-30.09.2023</w:t>
            </w:r>
          </w:p>
        </w:tc>
        <w:tc>
          <w:tcPr>
            <w:tcW w:w="1275" w:type="dxa"/>
            <w:tcBorders>
              <w:top w:val="single" w:sz="12" w:space="0" w:color="auto"/>
              <w:bottom w:val="single" w:sz="12" w:space="0" w:color="auto"/>
            </w:tcBorders>
            <w:vAlign w:val="center"/>
            <w:hideMark/>
          </w:tcPr>
          <w:p w14:paraId="4491BBDB"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color w:val="000000"/>
                <w:sz w:val="20"/>
                <w:szCs w:val="20"/>
              </w:rPr>
              <w:t xml:space="preserve"> 01.07-30.09.2022</w:t>
            </w:r>
          </w:p>
        </w:tc>
      </w:tr>
      <w:tr w:rsidR="00D615F9" w:rsidRPr="00D12EF9" w14:paraId="4B0D7A31" w14:textId="77777777" w:rsidTr="004C4F29">
        <w:trPr>
          <w:trHeight w:val="275"/>
        </w:trPr>
        <w:tc>
          <w:tcPr>
            <w:tcW w:w="4238" w:type="dxa"/>
            <w:hideMark/>
          </w:tcPr>
          <w:p w14:paraId="333FBBDC" w14:textId="77777777" w:rsidR="00D615F9" w:rsidRPr="00D615F9" w:rsidRDefault="00D615F9" w:rsidP="00035A93">
            <w:pPr>
              <w:rPr>
                <w:rFonts w:ascii="Ping LCG Regular" w:hAnsi="Ping LCG Regular" w:cs="Arial"/>
                <w:b/>
                <w:bCs/>
                <w:sz w:val="20"/>
                <w:szCs w:val="20"/>
                <w:u w:val="single"/>
                <w:lang w:val="el-GR"/>
              </w:rPr>
            </w:pPr>
            <w:r w:rsidRPr="00D615F9">
              <w:rPr>
                <w:rFonts w:ascii="Ping LCG Regular" w:hAnsi="Ping LCG Regular" w:cs="Arial"/>
                <w:b/>
                <w:bCs/>
                <w:sz w:val="20"/>
                <w:szCs w:val="20"/>
                <w:u w:val="single"/>
                <w:lang w:val="el-GR"/>
              </w:rPr>
              <w:t>ΑΠΟΣΒΕΣΕΙΣ, ΚΑΘΑΡΕΣ ΧΡΗΜΑΤΟΟΙΚΟΝΟΜΙΚΕΣ ΔΑΠΑΝΕΣ, ΚΕΡΔΗ ΑΠΟ ΣΥΓΓΕΝΕΙΣ ΕΤΑΙΡΕΙΕΣ</w:t>
            </w:r>
          </w:p>
        </w:tc>
        <w:tc>
          <w:tcPr>
            <w:tcW w:w="1276" w:type="dxa"/>
            <w:tcBorders>
              <w:top w:val="single" w:sz="12" w:space="0" w:color="auto"/>
              <w:bottom w:val="nil"/>
            </w:tcBorders>
            <w:vAlign w:val="center"/>
          </w:tcPr>
          <w:p w14:paraId="2F16AFC1" w14:textId="77777777" w:rsidR="00D615F9" w:rsidRPr="00D615F9" w:rsidRDefault="00D615F9" w:rsidP="00035A93">
            <w:pPr>
              <w:jc w:val="right"/>
              <w:rPr>
                <w:rFonts w:ascii="Ping LCG Regular" w:hAnsi="Ping LCG Regular" w:cs="Arial"/>
                <w:b/>
                <w:bCs/>
                <w:sz w:val="20"/>
                <w:szCs w:val="20"/>
                <w:lang w:val="el-GR"/>
              </w:rPr>
            </w:pPr>
          </w:p>
          <w:p w14:paraId="146147DF"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660,5</w:t>
            </w:r>
          </w:p>
        </w:tc>
        <w:tc>
          <w:tcPr>
            <w:tcW w:w="1275" w:type="dxa"/>
            <w:tcBorders>
              <w:top w:val="single" w:sz="12" w:space="0" w:color="auto"/>
              <w:bottom w:val="nil"/>
            </w:tcBorders>
            <w:vAlign w:val="center"/>
          </w:tcPr>
          <w:p w14:paraId="730EF7CC" w14:textId="77777777" w:rsidR="00D615F9" w:rsidRPr="00D12EF9" w:rsidRDefault="00D615F9" w:rsidP="00035A93">
            <w:pPr>
              <w:jc w:val="right"/>
              <w:rPr>
                <w:rFonts w:ascii="Ping LCG Regular" w:hAnsi="Ping LCG Regular" w:cs="Arial"/>
                <w:b/>
                <w:bCs/>
                <w:sz w:val="20"/>
                <w:szCs w:val="20"/>
              </w:rPr>
            </w:pPr>
          </w:p>
          <w:p w14:paraId="20453962"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661,3</w:t>
            </w:r>
          </w:p>
        </w:tc>
        <w:tc>
          <w:tcPr>
            <w:tcW w:w="1560" w:type="dxa"/>
            <w:tcBorders>
              <w:top w:val="single" w:sz="12" w:space="0" w:color="auto"/>
              <w:bottom w:val="nil"/>
            </w:tcBorders>
            <w:vAlign w:val="center"/>
          </w:tcPr>
          <w:p w14:paraId="1AB72A36" w14:textId="77777777" w:rsidR="00D615F9" w:rsidRPr="00D12EF9" w:rsidRDefault="00D615F9" w:rsidP="00035A93">
            <w:pPr>
              <w:jc w:val="right"/>
              <w:rPr>
                <w:rFonts w:ascii="Ping LCG Regular" w:hAnsi="Ping LCG Regular" w:cs="Arial"/>
                <w:b/>
                <w:bCs/>
                <w:sz w:val="20"/>
                <w:szCs w:val="20"/>
              </w:rPr>
            </w:pPr>
          </w:p>
          <w:p w14:paraId="7FDB29A3"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225,6</w:t>
            </w:r>
          </w:p>
        </w:tc>
        <w:tc>
          <w:tcPr>
            <w:tcW w:w="1275" w:type="dxa"/>
            <w:tcBorders>
              <w:top w:val="single" w:sz="12" w:space="0" w:color="auto"/>
              <w:bottom w:val="nil"/>
            </w:tcBorders>
            <w:vAlign w:val="center"/>
          </w:tcPr>
          <w:p w14:paraId="15D9521F" w14:textId="77777777" w:rsidR="00D615F9" w:rsidRPr="00D12EF9" w:rsidRDefault="00D615F9" w:rsidP="00035A93">
            <w:pPr>
              <w:jc w:val="right"/>
              <w:rPr>
                <w:rFonts w:ascii="Ping LCG Regular" w:hAnsi="Ping LCG Regular" w:cs="Arial"/>
                <w:b/>
                <w:bCs/>
                <w:sz w:val="20"/>
                <w:szCs w:val="20"/>
              </w:rPr>
            </w:pPr>
          </w:p>
          <w:p w14:paraId="4D302522" w14:textId="77777777" w:rsidR="00D615F9" w:rsidRPr="00D12EF9" w:rsidRDefault="00D615F9" w:rsidP="00035A93">
            <w:pPr>
              <w:jc w:val="right"/>
              <w:rPr>
                <w:rFonts w:ascii="Ping LCG Regular" w:hAnsi="Ping LCG Regular" w:cs="Arial"/>
                <w:b/>
                <w:bCs/>
                <w:sz w:val="20"/>
                <w:szCs w:val="20"/>
              </w:rPr>
            </w:pPr>
            <w:r w:rsidRPr="00D12EF9">
              <w:rPr>
                <w:rFonts w:ascii="Ping LCG Regular" w:hAnsi="Ping LCG Regular" w:cs="Arial"/>
                <w:b/>
                <w:bCs/>
                <w:sz w:val="20"/>
                <w:szCs w:val="20"/>
              </w:rPr>
              <w:t>236,7</w:t>
            </w:r>
          </w:p>
        </w:tc>
      </w:tr>
      <w:tr w:rsidR="00D615F9" w:rsidRPr="00D12EF9" w14:paraId="0F10F774" w14:textId="77777777" w:rsidTr="004C4F29">
        <w:trPr>
          <w:trHeight w:val="275"/>
        </w:trPr>
        <w:tc>
          <w:tcPr>
            <w:tcW w:w="4238" w:type="dxa"/>
          </w:tcPr>
          <w:p w14:paraId="5F1598C5" w14:textId="77777777" w:rsidR="00D615F9" w:rsidRPr="00D12EF9" w:rsidRDefault="00D615F9" w:rsidP="00035A93">
            <w:pPr>
              <w:rPr>
                <w:rFonts w:ascii="Ping LCG Regular" w:hAnsi="Ping LCG Regular" w:cs="Arial"/>
                <w:b/>
                <w:bCs/>
                <w:sz w:val="20"/>
                <w:szCs w:val="20"/>
                <w:u w:val="single"/>
              </w:rPr>
            </w:pPr>
          </w:p>
        </w:tc>
        <w:tc>
          <w:tcPr>
            <w:tcW w:w="1276" w:type="dxa"/>
            <w:tcBorders>
              <w:top w:val="nil"/>
              <w:bottom w:val="nil"/>
            </w:tcBorders>
            <w:vAlign w:val="center"/>
          </w:tcPr>
          <w:p w14:paraId="5A9297C7" w14:textId="77777777" w:rsidR="00D615F9" w:rsidRPr="00D12EF9" w:rsidRDefault="00D615F9" w:rsidP="00035A93">
            <w:pPr>
              <w:jc w:val="right"/>
              <w:rPr>
                <w:rFonts w:ascii="Ping LCG Regular" w:hAnsi="Ping LCG Regular" w:cs="Arial"/>
                <w:b/>
                <w:bCs/>
                <w:sz w:val="20"/>
                <w:szCs w:val="20"/>
              </w:rPr>
            </w:pPr>
          </w:p>
        </w:tc>
        <w:tc>
          <w:tcPr>
            <w:tcW w:w="1275" w:type="dxa"/>
            <w:tcBorders>
              <w:top w:val="nil"/>
              <w:bottom w:val="nil"/>
            </w:tcBorders>
            <w:vAlign w:val="center"/>
          </w:tcPr>
          <w:p w14:paraId="44D5A1CE" w14:textId="77777777" w:rsidR="00D615F9" w:rsidRPr="00D12EF9" w:rsidRDefault="00D615F9" w:rsidP="00035A93">
            <w:pPr>
              <w:jc w:val="right"/>
              <w:rPr>
                <w:rFonts w:ascii="Ping LCG Regular" w:hAnsi="Ping LCG Regular" w:cs="Arial"/>
                <w:b/>
                <w:bCs/>
                <w:sz w:val="20"/>
                <w:szCs w:val="20"/>
              </w:rPr>
            </w:pPr>
          </w:p>
        </w:tc>
        <w:tc>
          <w:tcPr>
            <w:tcW w:w="1560" w:type="dxa"/>
            <w:tcBorders>
              <w:top w:val="nil"/>
              <w:bottom w:val="nil"/>
            </w:tcBorders>
            <w:vAlign w:val="center"/>
          </w:tcPr>
          <w:p w14:paraId="52AD46FC" w14:textId="77777777" w:rsidR="00D615F9" w:rsidRPr="00D12EF9" w:rsidRDefault="00D615F9" w:rsidP="00035A93">
            <w:pPr>
              <w:jc w:val="right"/>
              <w:rPr>
                <w:rFonts w:ascii="Ping LCG Regular" w:hAnsi="Ping LCG Regular" w:cs="Arial"/>
                <w:b/>
                <w:bCs/>
                <w:sz w:val="20"/>
                <w:szCs w:val="20"/>
              </w:rPr>
            </w:pPr>
          </w:p>
        </w:tc>
        <w:tc>
          <w:tcPr>
            <w:tcW w:w="1275" w:type="dxa"/>
            <w:tcBorders>
              <w:top w:val="nil"/>
              <w:bottom w:val="nil"/>
              <w:right w:val="single" w:sz="12" w:space="0" w:color="auto"/>
            </w:tcBorders>
            <w:vAlign w:val="center"/>
          </w:tcPr>
          <w:p w14:paraId="5C8901A5" w14:textId="77777777" w:rsidR="00D615F9" w:rsidRPr="00D12EF9" w:rsidRDefault="00D615F9" w:rsidP="00035A93">
            <w:pPr>
              <w:jc w:val="right"/>
              <w:rPr>
                <w:rFonts w:ascii="Ping LCG Regular" w:hAnsi="Ping LCG Regular" w:cs="Arial"/>
                <w:b/>
                <w:bCs/>
                <w:sz w:val="20"/>
                <w:szCs w:val="20"/>
              </w:rPr>
            </w:pPr>
          </w:p>
        </w:tc>
      </w:tr>
      <w:tr w:rsidR="00D615F9" w:rsidRPr="00D12EF9" w14:paraId="2A3BD986" w14:textId="77777777" w:rsidTr="004C4F29">
        <w:trPr>
          <w:trHeight w:val="110"/>
        </w:trPr>
        <w:tc>
          <w:tcPr>
            <w:tcW w:w="4238" w:type="dxa"/>
            <w:hideMark/>
          </w:tcPr>
          <w:p w14:paraId="18F1CED2"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 xml:space="preserve">Αποσβέσεις  </w:t>
            </w:r>
          </w:p>
        </w:tc>
        <w:tc>
          <w:tcPr>
            <w:tcW w:w="1276" w:type="dxa"/>
            <w:tcBorders>
              <w:top w:val="nil"/>
              <w:left w:val="nil"/>
              <w:bottom w:val="nil"/>
              <w:right w:val="nil"/>
            </w:tcBorders>
            <w:shd w:val="clear" w:color="000000" w:fill="FFFFFF"/>
            <w:noWrap/>
            <w:vAlign w:val="center"/>
          </w:tcPr>
          <w:p w14:paraId="0F98122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color w:val="000000"/>
                <w:sz w:val="20"/>
                <w:szCs w:val="20"/>
              </w:rPr>
              <w:t>464,0</w:t>
            </w:r>
          </w:p>
        </w:tc>
        <w:tc>
          <w:tcPr>
            <w:tcW w:w="1275" w:type="dxa"/>
            <w:tcBorders>
              <w:top w:val="nil"/>
              <w:left w:val="nil"/>
              <w:bottom w:val="nil"/>
              <w:right w:val="nil"/>
            </w:tcBorders>
            <w:shd w:val="clear" w:color="000000" w:fill="FFFFFF"/>
            <w:noWrap/>
            <w:vAlign w:val="center"/>
          </w:tcPr>
          <w:p w14:paraId="57FE118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color w:val="000000"/>
                <w:sz w:val="20"/>
                <w:szCs w:val="20"/>
              </w:rPr>
              <w:t>504,0</w:t>
            </w:r>
          </w:p>
        </w:tc>
        <w:tc>
          <w:tcPr>
            <w:tcW w:w="1560" w:type="dxa"/>
            <w:tcBorders>
              <w:top w:val="nil"/>
              <w:left w:val="nil"/>
              <w:bottom w:val="nil"/>
              <w:right w:val="nil"/>
            </w:tcBorders>
            <w:shd w:val="clear" w:color="000000" w:fill="FFFFFF"/>
            <w:noWrap/>
            <w:vAlign w:val="center"/>
          </w:tcPr>
          <w:p w14:paraId="48F439D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157,0 </w:t>
            </w:r>
          </w:p>
        </w:tc>
        <w:tc>
          <w:tcPr>
            <w:tcW w:w="1275" w:type="dxa"/>
            <w:tcBorders>
              <w:top w:val="nil"/>
              <w:left w:val="nil"/>
              <w:bottom w:val="nil"/>
              <w:right w:val="single" w:sz="12" w:space="0" w:color="auto"/>
            </w:tcBorders>
            <w:shd w:val="clear" w:color="000000" w:fill="FFFFFF"/>
            <w:noWrap/>
            <w:vAlign w:val="center"/>
          </w:tcPr>
          <w:p w14:paraId="5C5B00D5"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170,8</w:t>
            </w:r>
          </w:p>
        </w:tc>
      </w:tr>
      <w:tr w:rsidR="00D615F9" w:rsidRPr="00D12EF9" w14:paraId="3CF63493" w14:textId="77777777" w:rsidTr="004C4F29">
        <w:trPr>
          <w:trHeight w:val="185"/>
        </w:trPr>
        <w:tc>
          <w:tcPr>
            <w:tcW w:w="4238" w:type="dxa"/>
            <w:hideMark/>
          </w:tcPr>
          <w:p w14:paraId="5514C3F8"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Χρηματοοικονομικά έξοδα</w:t>
            </w:r>
          </w:p>
        </w:tc>
        <w:tc>
          <w:tcPr>
            <w:tcW w:w="1276" w:type="dxa"/>
            <w:tcBorders>
              <w:top w:val="nil"/>
              <w:left w:val="nil"/>
              <w:bottom w:val="nil"/>
              <w:right w:val="nil"/>
            </w:tcBorders>
            <w:shd w:val="clear" w:color="000000" w:fill="FFFFFF"/>
            <w:noWrap/>
            <w:vAlign w:val="center"/>
          </w:tcPr>
          <w:p w14:paraId="18AED63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color w:val="000000"/>
                <w:sz w:val="20"/>
                <w:szCs w:val="20"/>
              </w:rPr>
              <w:t>295,4</w:t>
            </w:r>
          </w:p>
        </w:tc>
        <w:tc>
          <w:tcPr>
            <w:tcW w:w="1275" w:type="dxa"/>
            <w:tcBorders>
              <w:top w:val="nil"/>
              <w:left w:val="nil"/>
              <w:bottom w:val="nil"/>
              <w:right w:val="nil"/>
            </w:tcBorders>
            <w:shd w:val="clear" w:color="000000" w:fill="FFFFFF"/>
            <w:noWrap/>
            <w:vAlign w:val="center"/>
          </w:tcPr>
          <w:p w14:paraId="065CBCA6"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color w:val="000000"/>
                <w:sz w:val="20"/>
                <w:szCs w:val="20"/>
              </w:rPr>
              <w:t>254,0</w:t>
            </w:r>
          </w:p>
        </w:tc>
        <w:tc>
          <w:tcPr>
            <w:tcW w:w="1560" w:type="dxa"/>
            <w:tcBorders>
              <w:top w:val="nil"/>
              <w:left w:val="nil"/>
              <w:bottom w:val="nil"/>
              <w:right w:val="nil"/>
            </w:tcBorders>
            <w:shd w:val="clear" w:color="000000" w:fill="FFFFFF"/>
            <w:noWrap/>
            <w:vAlign w:val="center"/>
          </w:tcPr>
          <w:p w14:paraId="2EBDD66A"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102,6 </w:t>
            </w:r>
          </w:p>
        </w:tc>
        <w:tc>
          <w:tcPr>
            <w:tcW w:w="1275" w:type="dxa"/>
            <w:tcBorders>
              <w:top w:val="nil"/>
              <w:left w:val="nil"/>
              <w:bottom w:val="nil"/>
              <w:right w:val="single" w:sz="12" w:space="0" w:color="auto"/>
            </w:tcBorders>
            <w:shd w:val="clear" w:color="000000" w:fill="FFFFFF"/>
            <w:noWrap/>
            <w:vAlign w:val="center"/>
          </w:tcPr>
          <w:p w14:paraId="43D77D7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82,5</w:t>
            </w:r>
          </w:p>
        </w:tc>
      </w:tr>
      <w:tr w:rsidR="00D615F9" w:rsidRPr="00D12EF9" w14:paraId="27710C7B" w14:textId="77777777" w:rsidTr="004C4F29">
        <w:trPr>
          <w:trHeight w:val="116"/>
        </w:trPr>
        <w:tc>
          <w:tcPr>
            <w:tcW w:w="4238" w:type="dxa"/>
            <w:hideMark/>
          </w:tcPr>
          <w:p w14:paraId="4C4BB129" w14:textId="77777777" w:rsidR="00D615F9" w:rsidRPr="00D12EF9" w:rsidRDefault="00D615F9" w:rsidP="00035A93">
            <w:pPr>
              <w:rPr>
                <w:rFonts w:ascii="Ping LCG Regular" w:hAnsi="Ping LCG Regular" w:cs="Arial"/>
                <w:sz w:val="20"/>
                <w:szCs w:val="20"/>
              </w:rPr>
            </w:pPr>
            <w:r w:rsidRPr="00D12EF9">
              <w:rPr>
                <w:rFonts w:ascii="Ping LCG Regular" w:hAnsi="Ping LCG Regular" w:cs="Arial"/>
                <w:sz w:val="20"/>
                <w:szCs w:val="20"/>
              </w:rPr>
              <w:t>Χρηματοοικονομικά έσοδα</w:t>
            </w:r>
          </w:p>
        </w:tc>
        <w:tc>
          <w:tcPr>
            <w:tcW w:w="1276" w:type="dxa"/>
            <w:tcBorders>
              <w:top w:val="nil"/>
              <w:left w:val="nil"/>
              <w:bottom w:val="nil"/>
              <w:right w:val="nil"/>
            </w:tcBorders>
            <w:shd w:val="clear" w:color="000000" w:fill="FFFFFF"/>
            <w:noWrap/>
            <w:vAlign w:val="center"/>
          </w:tcPr>
          <w:p w14:paraId="0ED84FDC" w14:textId="3E4A55A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           (95,2)</w:t>
            </w:r>
          </w:p>
        </w:tc>
        <w:tc>
          <w:tcPr>
            <w:tcW w:w="1275" w:type="dxa"/>
            <w:tcBorders>
              <w:top w:val="nil"/>
              <w:left w:val="nil"/>
              <w:bottom w:val="nil"/>
              <w:right w:val="nil"/>
            </w:tcBorders>
            <w:shd w:val="clear" w:color="000000" w:fill="FFFFFF"/>
            <w:noWrap/>
            <w:vAlign w:val="center"/>
          </w:tcPr>
          <w:p w14:paraId="1B7C55DC"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(42,5)</w:t>
            </w:r>
          </w:p>
        </w:tc>
        <w:tc>
          <w:tcPr>
            <w:tcW w:w="1560" w:type="dxa"/>
            <w:tcBorders>
              <w:top w:val="nil"/>
              <w:left w:val="nil"/>
              <w:bottom w:val="nil"/>
              <w:right w:val="nil"/>
            </w:tcBorders>
            <w:shd w:val="clear" w:color="000000" w:fill="FFFFFF"/>
            <w:noWrap/>
            <w:vAlign w:val="center"/>
          </w:tcPr>
          <w:p w14:paraId="0BF68F79"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(35,1)</w:t>
            </w:r>
          </w:p>
        </w:tc>
        <w:tc>
          <w:tcPr>
            <w:tcW w:w="1275" w:type="dxa"/>
            <w:tcBorders>
              <w:top w:val="nil"/>
              <w:left w:val="nil"/>
              <w:bottom w:val="nil"/>
              <w:right w:val="single" w:sz="12" w:space="0" w:color="auto"/>
            </w:tcBorders>
            <w:shd w:val="clear" w:color="000000" w:fill="FFFFFF"/>
            <w:noWrap/>
            <w:vAlign w:val="center"/>
          </w:tcPr>
          <w:p w14:paraId="0CEAD16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(21,5)</w:t>
            </w:r>
          </w:p>
        </w:tc>
      </w:tr>
      <w:tr w:rsidR="00D615F9" w:rsidRPr="00D12EF9" w14:paraId="792F380B" w14:textId="77777777" w:rsidTr="004C4F29">
        <w:trPr>
          <w:trHeight w:val="66"/>
        </w:trPr>
        <w:tc>
          <w:tcPr>
            <w:tcW w:w="4238" w:type="dxa"/>
            <w:hideMark/>
          </w:tcPr>
          <w:p w14:paraId="36F881E8" w14:textId="77777777" w:rsidR="00D615F9" w:rsidRPr="00D615F9" w:rsidRDefault="00D615F9" w:rsidP="00035A93">
            <w:pPr>
              <w:rPr>
                <w:rFonts w:ascii="Ping LCG Regular" w:hAnsi="Ping LCG Regular" w:cs="Arial"/>
                <w:sz w:val="20"/>
                <w:szCs w:val="20"/>
                <w:lang w:val="el-GR"/>
              </w:rPr>
            </w:pPr>
            <w:r w:rsidRPr="00D615F9">
              <w:rPr>
                <w:rFonts w:ascii="Ping LCG Regular" w:hAnsi="Ping LCG Regular" w:cs="Arial"/>
                <w:sz w:val="20"/>
                <w:szCs w:val="20"/>
                <w:lang w:val="el-GR"/>
              </w:rPr>
              <w:t>Καθαρό (κέρδος)/ζημία από συγγενείς επιχειρήσεις και κοινοπραξίες</w:t>
            </w:r>
          </w:p>
        </w:tc>
        <w:tc>
          <w:tcPr>
            <w:tcW w:w="1276" w:type="dxa"/>
            <w:tcBorders>
              <w:top w:val="nil"/>
              <w:left w:val="nil"/>
              <w:bottom w:val="nil"/>
              <w:right w:val="nil"/>
            </w:tcBorders>
            <w:shd w:val="clear" w:color="000000" w:fill="FFFFFF"/>
            <w:noWrap/>
            <w:vAlign w:val="center"/>
          </w:tcPr>
          <w:p w14:paraId="769C7619"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0,9 </w:t>
            </w:r>
          </w:p>
        </w:tc>
        <w:tc>
          <w:tcPr>
            <w:tcW w:w="1275" w:type="dxa"/>
            <w:tcBorders>
              <w:top w:val="nil"/>
              <w:left w:val="nil"/>
              <w:bottom w:val="nil"/>
              <w:right w:val="nil"/>
            </w:tcBorders>
            <w:shd w:val="clear" w:color="000000" w:fill="FFFFFF"/>
            <w:noWrap/>
            <w:vAlign w:val="center"/>
          </w:tcPr>
          <w:p w14:paraId="6B6B8E99" w14:textId="4866645E"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(60,6)</w:t>
            </w:r>
          </w:p>
        </w:tc>
        <w:tc>
          <w:tcPr>
            <w:tcW w:w="1560" w:type="dxa"/>
            <w:tcBorders>
              <w:top w:val="nil"/>
              <w:left w:val="nil"/>
              <w:bottom w:val="nil"/>
              <w:right w:val="nil"/>
            </w:tcBorders>
            <w:shd w:val="clear" w:color="000000" w:fill="FFFFFF"/>
            <w:noWrap/>
            <w:vAlign w:val="center"/>
          </w:tcPr>
          <w:p w14:paraId="184A649E"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 xml:space="preserve">0,9 </w:t>
            </w:r>
          </w:p>
        </w:tc>
        <w:tc>
          <w:tcPr>
            <w:tcW w:w="1275" w:type="dxa"/>
            <w:tcBorders>
              <w:top w:val="nil"/>
              <w:left w:val="nil"/>
              <w:bottom w:val="nil"/>
              <w:right w:val="single" w:sz="12" w:space="0" w:color="auto"/>
            </w:tcBorders>
            <w:shd w:val="clear" w:color="000000" w:fill="FFFFFF"/>
            <w:noWrap/>
            <w:vAlign w:val="center"/>
          </w:tcPr>
          <w:p w14:paraId="7902BD90"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0,2</w:t>
            </w:r>
          </w:p>
        </w:tc>
      </w:tr>
      <w:tr w:rsidR="00D615F9" w:rsidRPr="00D12EF9" w14:paraId="0784BBFE" w14:textId="77777777" w:rsidTr="004C4F29">
        <w:trPr>
          <w:trHeight w:val="137"/>
        </w:trPr>
        <w:tc>
          <w:tcPr>
            <w:tcW w:w="4238" w:type="dxa"/>
            <w:tcBorders>
              <w:bottom w:val="single" w:sz="12" w:space="0" w:color="auto"/>
            </w:tcBorders>
            <w:hideMark/>
          </w:tcPr>
          <w:p w14:paraId="2385EC38" w14:textId="77777777" w:rsidR="00D615F9" w:rsidRPr="00D615F9" w:rsidRDefault="00D615F9" w:rsidP="00035A93">
            <w:pPr>
              <w:rPr>
                <w:rFonts w:ascii="Ping LCG Regular" w:hAnsi="Ping LCG Regular" w:cs="Arial"/>
                <w:sz w:val="20"/>
                <w:szCs w:val="20"/>
                <w:lang w:val="el-GR"/>
              </w:rPr>
            </w:pPr>
            <w:r w:rsidRPr="00D615F9">
              <w:rPr>
                <w:rFonts w:ascii="Ping LCG Regular" w:hAnsi="Ping LCG Regular" w:cs="Arial"/>
                <w:sz w:val="20"/>
                <w:szCs w:val="20"/>
                <w:lang w:val="el-GR"/>
              </w:rPr>
              <w:t>Καθαρές ζημίες /(κέρδη) από συναλλαγματικές διαφορές</w:t>
            </w:r>
          </w:p>
        </w:tc>
        <w:tc>
          <w:tcPr>
            <w:tcW w:w="1276" w:type="dxa"/>
            <w:tcBorders>
              <w:top w:val="nil"/>
              <w:left w:val="nil"/>
              <w:bottom w:val="single" w:sz="12" w:space="0" w:color="auto"/>
              <w:right w:val="nil"/>
            </w:tcBorders>
            <w:shd w:val="clear" w:color="000000" w:fill="FFFFFF"/>
            <w:noWrap/>
            <w:vAlign w:val="center"/>
          </w:tcPr>
          <w:p w14:paraId="63C3DB4F"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(4,6)</w:t>
            </w:r>
          </w:p>
        </w:tc>
        <w:tc>
          <w:tcPr>
            <w:tcW w:w="1275" w:type="dxa"/>
            <w:tcBorders>
              <w:bottom w:val="single" w:sz="12" w:space="0" w:color="auto"/>
            </w:tcBorders>
            <w:noWrap/>
            <w:vAlign w:val="center"/>
          </w:tcPr>
          <w:p w14:paraId="6BC16407"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6,4</w:t>
            </w:r>
          </w:p>
        </w:tc>
        <w:tc>
          <w:tcPr>
            <w:tcW w:w="1560" w:type="dxa"/>
            <w:tcBorders>
              <w:top w:val="nil"/>
              <w:left w:val="nil"/>
              <w:bottom w:val="single" w:sz="12" w:space="0" w:color="auto"/>
              <w:right w:val="nil"/>
            </w:tcBorders>
            <w:shd w:val="clear" w:color="000000" w:fill="FFFFFF"/>
            <w:noWrap/>
            <w:vAlign w:val="center"/>
          </w:tcPr>
          <w:p w14:paraId="752743D2"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0,2</w:t>
            </w:r>
          </w:p>
        </w:tc>
        <w:tc>
          <w:tcPr>
            <w:tcW w:w="1275" w:type="dxa"/>
            <w:tcBorders>
              <w:bottom w:val="single" w:sz="12" w:space="0" w:color="auto"/>
            </w:tcBorders>
            <w:noWrap/>
            <w:vAlign w:val="center"/>
          </w:tcPr>
          <w:p w14:paraId="7E61C30D" w14:textId="77777777" w:rsidR="00D615F9" w:rsidRPr="00D12EF9" w:rsidRDefault="00D615F9" w:rsidP="00035A93">
            <w:pPr>
              <w:jc w:val="right"/>
              <w:rPr>
                <w:rFonts w:ascii="Ping LCG Regular" w:hAnsi="Ping LCG Regular" w:cs="Arial"/>
                <w:sz w:val="20"/>
                <w:szCs w:val="20"/>
              </w:rPr>
            </w:pPr>
            <w:r w:rsidRPr="00D12EF9">
              <w:rPr>
                <w:rFonts w:ascii="Ping LCG Regular" w:hAnsi="Ping LCG Regular" w:cs="Arial"/>
                <w:sz w:val="20"/>
                <w:szCs w:val="20"/>
              </w:rPr>
              <w:t>4,7</w:t>
            </w:r>
          </w:p>
        </w:tc>
      </w:tr>
    </w:tbl>
    <w:p w14:paraId="0A2CB2E7" w14:textId="77777777" w:rsidR="00D615F9" w:rsidRPr="00D12EF9" w:rsidRDefault="00D615F9" w:rsidP="00D615F9">
      <w:pPr>
        <w:rPr>
          <w:rFonts w:ascii="Ping LCG Regular" w:hAnsi="Ping LCG Regular" w:cs="Arial"/>
          <w:sz w:val="20"/>
          <w:szCs w:val="20"/>
        </w:rPr>
      </w:pPr>
    </w:p>
    <w:p w14:paraId="6FD80129" w14:textId="77777777" w:rsidR="00D615F9" w:rsidRDefault="00D615F9" w:rsidP="00D615F9">
      <w:pPr>
        <w:rPr>
          <w:rFonts w:ascii="Ping LCG Regular" w:hAnsi="Ping LCG Regular" w:cs="Arial"/>
          <w:sz w:val="20"/>
          <w:szCs w:val="20"/>
        </w:rPr>
      </w:pPr>
    </w:p>
    <w:p w14:paraId="4CB17968" w14:textId="77777777" w:rsidR="00D615F9" w:rsidRDefault="00D615F9" w:rsidP="00D615F9">
      <w:pPr>
        <w:rPr>
          <w:rFonts w:ascii="Ping LCG Regular" w:hAnsi="Ping LCG Regular" w:cs="Arial"/>
          <w:sz w:val="20"/>
          <w:szCs w:val="20"/>
        </w:rPr>
      </w:pPr>
    </w:p>
    <w:p w14:paraId="4F8B59D4" w14:textId="77777777" w:rsidR="00D615F9" w:rsidRPr="00D12EF9" w:rsidRDefault="00D615F9" w:rsidP="00D615F9">
      <w:pPr>
        <w:rPr>
          <w:rFonts w:ascii="Ping LCG Regular" w:hAnsi="Ping LCG Regular" w:cs="Arial"/>
          <w:sz w:val="20"/>
          <w:szCs w:val="20"/>
        </w:rPr>
      </w:pPr>
    </w:p>
    <w:p w14:paraId="30020C0F" w14:textId="77777777" w:rsidR="00D615F9" w:rsidRPr="00D12EF9" w:rsidRDefault="00D615F9" w:rsidP="00D615F9">
      <w:pPr>
        <w:tabs>
          <w:tab w:val="left" w:pos="404"/>
        </w:tabs>
        <w:rPr>
          <w:rFonts w:ascii="Ping LCG Regular" w:hAnsi="Ping LCG Regular" w:cs="Arial"/>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238"/>
        <w:gridCol w:w="1276"/>
        <w:gridCol w:w="2126"/>
        <w:gridCol w:w="1984"/>
      </w:tblGrid>
      <w:tr w:rsidR="00D615F9" w:rsidRPr="00D12EF9" w14:paraId="711FF587" w14:textId="77777777" w:rsidTr="00035A93">
        <w:trPr>
          <w:trHeight w:val="289"/>
        </w:trPr>
        <w:tc>
          <w:tcPr>
            <w:tcW w:w="4238" w:type="dxa"/>
            <w:tcBorders>
              <w:top w:val="single" w:sz="12" w:space="0" w:color="auto"/>
              <w:bottom w:val="single" w:sz="12" w:space="0" w:color="auto"/>
            </w:tcBorders>
            <w:noWrap/>
            <w:hideMark/>
          </w:tcPr>
          <w:p w14:paraId="59956075" w14:textId="77777777" w:rsidR="00D615F9" w:rsidRPr="00D12EF9" w:rsidRDefault="00D615F9" w:rsidP="00035A93">
            <w:pPr>
              <w:tabs>
                <w:tab w:val="left" w:pos="404"/>
              </w:tabs>
              <w:rPr>
                <w:rFonts w:ascii="Ping LCG Regular" w:hAnsi="Ping LCG Regular" w:cs="Arial"/>
                <w:b/>
                <w:bCs/>
                <w:sz w:val="20"/>
                <w:szCs w:val="20"/>
              </w:rPr>
            </w:pPr>
            <w:r w:rsidRPr="00D12EF9">
              <w:rPr>
                <w:rFonts w:ascii="Ping LCG Regular" w:hAnsi="Ping LCG Regular" w:cs="Arial"/>
                <w:b/>
                <w:bCs/>
                <w:sz w:val="20"/>
                <w:szCs w:val="20"/>
              </w:rPr>
              <w:t>ΠΙΝΑΚΑΣ ΣΤ: ΚΑΘΑΡΟΣ ΔΑΝΕΙΣΜΟΣ</w:t>
            </w:r>
          </w:p>
        </w:tc>
        <w:tc>
          <w:tcPr>
            <w:tcW w:w="1276" w:type="dxa"/>
            <w:tcBorders>
              <w:top w:val="single" w:sz="12" w:space="0" w:color="auto"/>
              <w:bottom w:val="single" w:sz="12" w:space="0" w:color="auto"/>
            </w:tcBorders>
            <w:noWrap/>
            <w:hideMark/>
          </w:tcPr>
          <w:p w14:paraId="52A24D82"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 </w:t>
            </w:r>
          </w:p>
        </w:tc>
        <w:tc>
          <w:tcPr>
            <w:tcW w:w="2126" w:type="dxa"/>
            <w:tcBorders>
              <w:top w:val="single" w:sz="12" w:space="0" w:color="auto"/>
              <w:bottom w:val="single" w:sz="12" w:space="0" w:color="auto"/>
            </w:tcBorders>
            <w:noWrap/>
            <w:hideMark/>
          </w:tcPr>
          <w:p w14:paraId="3784485F"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 </w:t>
            </w:r>
          </w:p>
        </w:tc>
        <w:tc>
          <w:tcPr>
            <w:tcW w:w="1984" w:type="dxa"/>
            <w:tcBorders>
              <w:top w:val="single" w:sz="12" w:space="0" w:color="auto"/>
              <w:bottom w:val="single" w:sz="12" w:space="0" w:color="auto"/>
            </w:tcBorders>
            <w:noWrap/>
            <w:hideMark/>
          </w:tcPr>
          <w:p w14:paraId="68D93DAD"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 </w:t>
            </w:r>
          </w:p>
        </w:tc>
      </w:tr>
      <w:tr w:rsidR="00D615F9" w:rsidRPr="00D12EF9" w14:paraId="4E5ED9EE" w14:textId="77777777" w:rsidTr="00035A93">
        <w:trPr>
          <w:trHeight w:val="289"/>
        </w:trPr>
        <w:tc>
          <w:tcPr>
            <w:tcW w:w="4238" w:type="dxa"/>
            <w:tcBorders>
              <w:top w:val="single" w:sz="12" w:space="0" w:color="auto"/>
            </w:tcBorders>
            <w:noWrap/>
            <w:hideMark/>
          </w:tcPr>
          <w:p w14:paraId="721B3A85" w14:textId="77777777" w:rsidR="00D615F9" w:rsidRPr="00D12EF9" w:rsidRDefault="00D615F9" w:rsidP="00035A93">
            <w:pPr>
              <w:tabs>
                <w:tab w:val="left" w:pos="404"/>
              </w:tabs>
              <w:rPr>
                <w:rFonts w:ascii="Ping LCG Regular" w:hAnsi="Ping LCG Regular" w:cs="Arial"/>
                <w:b/>
                <w:bCs/>
                <w:sz w:val="20"/>
                <w:szCs w:val="20"/>
              </w:rPr>
            </w:pPr>
            <w:r w:rsidRPr="00D12EF9">
              <w:rPr>
                <w:rFonts w:ascii="Ping LCG Regular" w:hAnsi="Ping LCG Regular" w:cs="Arial"/>
                <w:b/>
                <w:bCs/>
                <w:sz w:val="20"/>
                <w:szCs w:val="20"/>
              </w:rPr>
              <w:t>Ποσά σε εκατ. €</w:t>
            </w:r>
          </w:p>
        </w:tc>
        <w:tc>
          <w:tcPr>
            <w:tcW w:w="5386" w:type="dxa"/>
            <w:gridSpan w:val="3"/>
            <w:tcBorders>
              <w:top w:val="single" w:sz="12" w:space="0" w:color="auto"/>
              <w:bottom w:val="nil"/>
              <w:right w:val="single" w:sz="12" w:space="0" w:color="auto"/>
            </w:tcBorders>
            <w:noWrap/>
            <w:hideMark/>
          </w:tcPr>
          <w:p w14:paraId="19A0F189" w14:textId="77777777" w:rsidR="00D615F9" w:rsidRPr="00D12EF9" w:rsidRDefault="00D615F9" w:rsidP="00035A93">
            <w:pPr>
              <w:tabs>
                <w:tab w:val="left" w:pos="404"/>
              </w:tabs>
              <w:rPr>
                <w:rFonts w:ascii="Ping LCG Regular" w:hAnsi="Ping LCG Regular" w:cs="Arial"/>
                <w:b/>
                <w:bCs/>
                <w:sz w:val="20"/>
                <w:szCs w:val="20"/>
              </w:rPr>
            </w:pPr>
          </w:p>
        </w:tc>
      </w:tr>
      <w:tr w:rsidR="00D615F9" w:rsidRPr="00D12EF9" w14:paraId="5E414953" w14:textId="77777777" w:rsidTr="00035A93">
        <w:trPr>
          <w:trHeight w:val="241"/>
        </w:trPr>
        <w:tc>
          <w:tcPr>
            <w:tcW w:w="4238" w:type="dxa"/>
            <w:noWrap/>
            <w:hideMark/>
          </w:tcPr>
          <w:p w14:paraId="27DB4C0A"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 </w:t>
            </w:r>
          </w:p>
        </w:tc>
        <w:tc>
          <w:tcPr>
            <w:tcW w:w="1276" w:type="dxa"/>
            <w:tcBorders>
              <w:top w:val="nil"/>
              <w:bottom w:val="single" w:sz="12" w:space="0" w:color="auto"/>
            </w:tcBorders>
            <w:noWrap/>
            <w:hideMark/>
          </w:tcPr>
          <w:p w14:paraId="2300E78A" w14:textId="77777777" w:rsidR="00D615F9" w:rsidRPr="00D12EF9" w:rsidRDefault="00D615F9" w:rsidP="00035A93">
            <w:pPr>
              <w:tabs>
                <w:tab w:val="left" w:pos="404"/>
              </w:tabs>
              <w:rPr>
                <w:rFonts w:ascii="Ping LCG Regular" w:hAnsi="Ping LCG Regular" w:cs="Arial"/>
                <w:b/>
                <w:bCs/>
                <w:sz w:val="20"/>
                <w:szCs w:val="20"/>
              </w:rPr>
            </w:pPr>
            <w:r w:rsidRPr="00D12EF9">
              <w:rPr>
                <w:rFonts w:ascii="Ping LCG Regular" w:hAnsi="Ping LCG Regular" w:cs="Arial"/>
                <w:b/>
                <w:bCs/>
                <w:sz w:val="20"/>
                <w:szCs w:val="20"/>
              </w:rPr>
              <w:t> </w:t>
            </w:r>
          </w:p>
        </w:tc>
        <w:tc>
          <w:tcPr>
            <w:tcW w:w="2126" w:type="dxa"/>
            <w:tcBorders>
              <w:top w:val="nil"/>
              <w:bottom w:val="single" w:sz="12" w:space="0" w:color="auto"/>
            </w:tcBorders>
            <w:noWrap/>
            <w:hideMark/>
          </w:tcPr>
          <w:p w14:paraId="74BF4CAE" w14:textId="77777777" w:rsidR="00D615F9" w:rsidRPr="00D12EF9" w:rsidRDefault="00D615F9" w:rsidP="00035A93">
            <w:pPr>
              <w:tabs>
                <w:tab w:val="left" w:pos="404"/>
              </w:tabs>
              <w:jc w:val="center"/>
              <w:rPr>
                <w:rFonts w:ascii="Ping LCG Regular" w:hAnsi="Ping LCG Regular" w:cs="Arial"/>
                <w:b/>
                <w:bCs/>
                <w:sz w:val="20"/>
                <w:szCs w:val="20"/>
              </w:rPr>
            </w:pPr>
            <w:r w:rsidRPr="00D12EF9">
              <w:rPr>
                <w:rFonts w:ascii="Ping LCG Regular" w:hAnsi="Ping LCG Regular" w:cs="Arial"/>
                <w:b/>
                <w:bCs/>
                <w:sz w:val="20"/>
                <w:szCs w:val="20"/>
              </w:rPr>
              <w:t>Όμιλος</w:t>
            </w:r>
          </w:p>
        </w:tc>
        <w:tc>
          <w:tcPr>
            <w:tcW w:w="1984" w:type="dxa"/>
            <w:tcBorders>
              <w:top w:val="nil"/>
              <w:bottom w:val="single" w:sz="12" w:space="0" w:color="auto"/>
              <w:right w:val="single" w:sz="12" w:space="0" w:color="auto"/>
            </w:tcBorders>
            <w:noWrap/>
            <w:hideMark/>
          </w:tcPr>
          <w:p w14:paraId="69EDAE36" w14:textId="77777777" w:rsidR="00D615F9" w:rsidRPr="00D12EF9" w:rsidRDefault="00D615F9" w:rsidP="00035A93">
            <w:pPr>
              <w:tabs>
                <w:tab w:val="left" w:pos="404"/>
              </w:tabs>
              <w:rPr>
                <w:rFonts w:ascii="Ping LCG Regular" w:hAnsi="Ping LCG Regular" w:cs="Arial"/>
                <w:b/>
                <w:bCs/>
                <w:sz w:val="20"/>
                <w:szCs w:val="20"/>
              </w:rPr>
            </w:pPr>
            <w:r w:rsidRPr="00D12EF9">
              <w:rPr>
                <w:rFonts w:ascii="Ping LCG Regular" w:hAnsi="Ping LCG Regular" w:cs="Arial"/>
                <w:b/>
                <w:bCs/>
                <w:sz w:val="20"/>
                <w:szCs w:val="20"/>
              </w:rPr>
              <w:t> </w:t>
            </w:r>
          </w:p>
        </w:tc>
      </w:tr>
      <w:tr w:rsidR="00D615F9" w:rsidRPr="00D12EF9" w14:paraId="53BB8A08" w14:textId="77777777" w:rsidTr="00E26FAE">
        <w:trPr>
          <w:trHeight w:val="306"/>
        </w:trPr>
        <w:tc>
          <w:tcPr>
            <w:tcW w:w="4238" w:type="dxa"/>
            <w:tcBorders>
              <w:right w:val="nil"/>
            </w:tcBorders>
            <w:noWrap/>
            <w:hideMark/>
          </w:tcPr>
          <w:p w14:paraId="09A6CAB9"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 </w:t>
            </w:r>
          </w:p>
        </w:tc>
        <w:tc>
          <w:tcPr>
            <w:tcW w:w="1276" w:type="dxa"/>
            <w:tcBorders>
              <w:top w:val="single" w:sz="12" w:space="0" w:color="auto"/>
              <w:left w:val="nil"/>
              <w:bottom w:val="single" w:sz="12" w:space="0" w:color="auto"/>
              <w:right w:val="nil"/>
            </w:tcBorders>
            <w:shd w:val="clear" w:color="000000" w:fill="FFFFFF"/>
            <w:noWrap/>
            <w:vAlign w:val="center"/>
            <w:hideMark/>
          </w:tcPr>
          <w:p w14:paraId="5EBBDF51" w14:textId="77777777" w:rsidR="00D615F9" w:rsidRPr="00D12EF9" w:rsidRDefault="00D615F9" w:rsidP="00035A93">
            <w:pPr>
              <w:tabs>
                <w:tab w:val="left" w:pos="404"/>
              </w:tabs>
              <w:jc w:val="right"/>
              <w:rPr>
                <w:rFonts w:ascii="Ping LCG Regular" w:hAnsi="Ping LCG Regular" w:cs="Arial"/>
                <w:b/>
                <w:bCs/>
                <w:color w:val="000000"/>
                <w:sz w:val="20"/>
                <w:szCs w:val="20"/>
              </w:rPr>
            </w:pPr>
            <w:r w:rsidRPr="00D12EF9">
              <w:rPr>
                <w:rFonts w:ascii="Ping LCG Regular" w:hAnsi="Ping LCG Regular" w:cs="Arial"/>
                <w:b/>
                <w:bCs/>
                <w:color w:val="000000"/>
                <w:sz w:val="20"/>
                <w:szCs w:val="20"/>
              </w:rPr>
              <w:t>30.09.2023</w:t>
            </w:r>
          </w:p>
        </w:tc>
        <w:tc>
          <w:tcPr>
            <w:tcW w:w="2126" w:type="dxa"/>
            <w:tcBorders>
              <w:top w:val="single" w:sz="12" w:space="0" w:color="auto"/>
              <w:left w:val="nil"/>
              <w:bottom w:val="single" w:sz="12" w:space="0" w:color="auto"/>
              <w:right w:val="nil"/>
            </w:tcBorders>
            <w:shd w:val="clear" w:color="000000" w:fill="FFFFFF"/>
            <w:noWrap/>
            <w:vAlign w:val="center"/>
            <w:hideMark/>
          </w:tcPr>
          <w:p w14:paraId="68730489" w14:textId="77777777" w:rsidR="00D615F9" w:rsidRPr="00D12EF9" w:rsidRDefault="00D615F9" w:rsidP="00035A93">
            <w:pPr>
              <w:tabs>
                <w:tab w:val="left" w:pos="404"/>
              </w:tabs>
              <w:jc w:val="right"/>
              <w:rPr>
                <w:rFonts w:ascii="Ping LCG Regular" w:hAnsi="Ping LCG Regular" w:cs="Arial"/>
                <w:b/>
                <w:bCs/>
                <w:sz w:val="20"/>
                <w:szCs w:val="20"/>
              </w:rPr>
            </w:pPr>
            <w:r w:rsidRPr="00D12EF9">
              <w:rPr>
                <w:rFonts w:ascii="Ping LCG Regular" w:hAnsi="Ping LCG Regular" w:cs="Arial"/>
                <w:b/>
                <w:bCs/>
                <w:color w:val="000000"/>
                <w:sz w:val="20"/>
                <w:szCs w:val="20"/>
              </w:rPr>
              <w:t>31.12.2022</w:t>
            </w:r>
          </w:p>
        </w:tc>
        <w:tc>
          <w:tcPr>
            <w:tcW w:w="1984" w:type="dxa"/>
            <w:tcBorders>
              <w:top w:val="single" w:sz="12" w:space="0" w:color="auto"/>
              <w:left w:val="nil"/>
              <w:bottom w:val="single" w:sz="12" w:space="0" w:color="auto"/>
              <w:right w:val="single" w:sz="12" w:space="0" w:color="auto"/>
            </w:tcBorders>
            <w:shd w:val="clear" w:color="000000" w:fill="FFFFFF"/>
            <w:noWrap/>
            <w:vAlign w:val="center"/>
            <w:hideMark/>
          </w:tcPr>
          <w:p w14:paraId="1F81DB01" w14:textId="77777777" w:rsidR="00D615F9" w:rsidRPr="00D12EF9" w:rsidRDefault="00D615F9" w:rsidP="00035A93">
            <w:pPr>
              <w:tabs>
                <w:tab w:val="left" w:pos="404"/>
              </w:tabs>
              <w:jc w:val="right"/>
              <w:rPr>
                <w:rFonts w:ascii="Ping LCG Regular" w:hAnsi="Ping LCG Regular" w:cs="Arial"/>
                <w:b/>
                <w:bCs/>
                <w:sz w:val="20"/>
                <w:szCs w:val="20"/>
              </w:rPr>
            </w:pPr>
            <w:r w:rsidRPr="00D12EF9">
              <w:rPr>
                <w:rFonts w:ascii="Ping LCG Regular" w:hAnsi="Ping LCG Regular" w:cs="Arial"/>
                <w:b/>
                <w:bCs/>
                <w:color w:val="000000"/>
                <w:sz w:val="20"/>
                <w:szCs w:val="20"/>
              </w:rPr>
              <w:t>30.09.2022</w:t>
            </w:r>
          </w:p>
        </w:tc>
      </w:tr>
      <w:tr w:rsidR="00D615F9" w:rsidRPr="00D12EF9" w14:paraId="24F1AF9A" w14:textId="77777777" w:rsidTr="00E26FAE">
        <w:trPr>
          <w:trHeight w:val="289"/>
        </w:trPr>
        <w:tc>
          <w:tcPr>
            <w:tcW w:w="4238" w:type="dxa"/>
            <w:noWrap/>
            <w:hideMark/>
          </w:tcPr>
          <w:p w14:paraId="5CAB387C"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Μακροπρόθεσμος δανεισμός</w:t>
            </w:r>
          </w:p>
        </w:tc>
        <w:tc>
          <w:tcPr>
            <w:tcW w:w="1276" w:type="dxa"/>
            <w:tcBorders>
              <w:top w:val="nil"/>
              <w:left w:val="nil"/>
              <w:bottom w:val="nil"/>
              <w:right w:val="nil"/>
            </w:tcBorders>
            <w:shd w:val="clear" w:color="000000" w:fill="FFFFFF"/>
            <w:noWrap/>
            <w:vAlign w:val="center"/>
          </w:tcPr>
          <w:p w14:paraId="2FA2D63F"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4.557,8</w:t>
            </w:r>
          </w:p>
        </w:tc>
        <w:tc>
          <w:tcPr>
            <w:tcW w:w="2126" w:type="dxa"/>
            <w:tcBorders>
              <w:top w:val="nil"/>
              <w:left w:val="nil"/>
              <w:bottom w:val="nil"/>
              <w:right w:val="nil"/>
            </w:tcBorders>
            <w:shd w:val="clear" w:color="000000" w:fill="FFFFFF"/>
            <w:vAlign w:val="center"/>
          </w:tcPr>
          <w:p w14:paraId="150209A1"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3.822,9</w:t>
            </w:r>
          </w:p>
        </w:tc>
        <w:tc>
          <w:tcPr>
            <w:tcW w:w="1984" w:type="dxa"/>
            <w:tcBorders>
              <w:top w:val="nil"/>
              <w:left w:val="nil"/>
              <w:bottom w:val="nil"/>
              <w:right w:val="single" w:sz="12" w:space="0" w:color="auto"/>
            </w:tcBorders>
            <w:shd w:val="clear" w:color="000000" w:fill="FFFFFF"/>
            <w:noWrap/>
            <w:vAlign w:val="center"/>
          </w:tcPr>
          <w:p w14:paraId="0A3817B2"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4.000,0</w:t>
            </w:r>
          </w:p>
        </w:tc>
      </w:tr>
      <w:tr w:rsidR="00D615F9" w:rsidRPr="00D12EF9" w14:paraId="5F8865BD" w14:textId="77777777" w:rsidTr="00E26FAE">
        <w:trPr>
          <w:trHeight w:val="289"/>
        </w:trPr>
        <w:tc>
          <w:tcPr>
            <w:tcW w:w="4238" w:type="dxa"/>
            <w:noWrap/>
            <w:hideMark/>
          </w:tcPr>
          <w:p w14:paraId="66EA79AA"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Βραχυπρόθεσμο μέρος μακροπρόθεσμου δανεισμού</w:t>
            </w:r>
          </w:p>
        </w:tc>
        <w:tc>
          <w:tcPr>
            <w:tcW w:w="1276" w:type="dxa"/>
            <w:tcBorders>
              <w:top w:val="nil"/>
              <w:left w:val="nil"/>
              <w:bottom w:val="nil"/>
              <w:right w:val="nil"/>
            </w:tcBorders>
            <w:shd w:val="clear" w:color="000000" w:fill="FFFFFF"/>
            <w:noWrap/>
            <w:vAlign w:val="center"/>
          </w:tcPr>
          <w:p w14:paraId="4C4A5CFA"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725,8</w:t>
            </w:r>
          </w:p>
        </w:tc>
        <w:tc>
          <w:tcPr>
            <w:tcW w:w="2126" w:type="dxa"/>
            <w:tcBorders>
              <w:top w:val="nil"/>
              <w:left w:val="nil"/>
              <w:bottom w:val="nil"/>
              <w:right w:val="nil"/>
            </w:tcBorders>
            <w:shd w:val="clear" w:color="000000" w:fill="FFFFFF"/>
            <w:vAlign w:val="center"/>
          </w:tcPr>
          <w:p w14:paraId="5BDDC413"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591,9</w:t>
            </w:r>
          </w:p>
        </w:tc>
        <w:tc>
          <w:tcPr>
            <w:tcW w:w="1984" w:type="dxa"/>
            <w:tcBorders>
              <w:top w:val="nil"/>
              <w:left w:val="nil"/>
              <w:bottom w:val="nil"/>
              <w:right w:val="single" w:sz="12" w:space="0" w:color="auto"/>
            </w:tcBorders>
            <w:shd w:val="clear" w:color="000000" w:fill="FFFFFF"/>
            <w:noWrap/>
            <w:vAlign w:val="center"/>
          </w:tcPr>
          <w:p w14:paraId="65B80443"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256,3</w:t>
            </w:r>
          </w:p>
        </w:tc>
      </w:tr>
      <w:tr w:rsidR="00D615F9" w:rsidRPr="00D12EF9" w14:paraId="3CE8ADA8" w14:textId="77777777" w:rsidTr="00E26FAE">
        <w:trPr>
          <w:trHeight w:val="289"/>
        </w:trPr>
        <w:tc>
          <w:tcPr>
            <w:tcW w:w="4238" w:type="dxa"/>
            <w:noWrap/>
            <w:hideMark/>
          </w:tcPr>
          <w:p w14:paraId="0EB3F6FA"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Βραχυπρόθεσμος δανεισμός</w:t>
            </w:r>
          </w:p>
        </w:tc>
        <w:tc>
          <w:tcPr>
            <w:tcW w:w="1276" w:type="dxa"/>
            <w:tcBorders>
              <w:top w:val="nil"/>
              <w:left w:val="nil"/>
              <w:bottom w:val="nil"/>
              <w:right w:val="nil"/>
            </w:tcBorders>
            <w:shd w:val="clear" w:color="000000" w:fill="FFFFFF"/>
            <w:noWrap/>
            <w:vAlign w:val="center"/>
          </w:tcPr>
          <w:p w14:paraId="29169D34"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94,5</w:t>
            </w:r>
          </w:p>
        </w:tc>
        <w:tc>
          <w:tcPr>
            <w:tcW w:w="2126" w:type="dxa"/>
            <w:tcBorders>
              <w:top w:val="nil"/>
              <w:left w:val="nil"/>
              <w:bottom w:val="nil"/>
              <w:right w:val="nil"/>
            </w:tcBorders>
            <w:shd w:val="clear" w:color="000000" w:fill="FFFFFF"/>
            <w:vAlign w:val="center"/>
          </w:tcPr>
          <w:p w14:paraId="63999933"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108,3</w:t>
            </w:r>
          </w:p>
        </w:tc>
        <w:tc>
          <w:tcPr>
            <w:tcW w:w="1984" w:type="dxa"/>
            <w:tcBorders>
              <w:top w:val="nil"/>
              <w:left w:val="nil"/>
              <w:bottom w:val="nil"/>
              <w:right w:val="single" w:sz="12" w:space="0" w:color="auto"/>
            </w:tcBorders>
            <w:shd w:val="clear" w:color="000000" w:fill="FFFFFF"/>
            <w:noWrap/>
            <w:vAlign w:val="center"/>
          </w:tcPr>
          <w:p w14:paraId="1697140B"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color w:val="000000"/>
                <w:sz w:val="20"/>
                <w:szCs w:val="20"/>
              </w:rPr>
              <w:t>375,2</w:t>
            </w:r>
          </w:p>
        </w:tc>
      </w:tr>
      <w:tr w:rsidR="00D615F9" w:rsidRPr="00D12EF9" w14:paraId="6BE10DD0" w14:textId="77777777" w:rsidTr="00E26FAE">
        <w:trPr>
          <w:trHeight w:val="190"/>
        </w:trPr>
        <w:tc>
          <w:tcPr>
            <w:tcW w:w="4238" w:type="dxa"/>
            <w:noWrap/>
            <w:hideMark/>
          </w:tcPr>
          <w:p w14:paraId="455AE0B2"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Χρηματικά διαθέσιμα</w:t>
            </w:r>
          </w:p>
        </w:tc>
        <w:tc>
          <w:tcPr>
            <w:tcW w:w="1276" w:type="dxa"/>
            <w:tcBorders>
              <w:top w:val="nil"/>
              <w:left w:val="nil"/>
              <w:bottom w:val="nil"/>
              <w:right w:val="nil"/>
            </w:tcBorders>
            <w:shd w:val="clear" w:color="000000" w:fill="FFFFFF"/>
            <w:noWrap/>
            <w:vAlign w:val="center"/>
          </w:tcPr>
          <w:p w14:paraId="4A6ADE43"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(3.103,6)</w:t>
            </w:r>
          </w:p>
        </w:tc>
        <w:tc>
          <w:tcPr>
            <w:tcW w:w="2126" w:type="dxa"/>
            <w:tcBorders>
              <w:top w:val="nil"/>
              <w:left w:val="nil"/>
              <w:bottom w:val="nil"/>
              <w:right w:val="nil"/>
            </w:tcBorders>
            <w:shd w:val="clear" w:color="000000" w:fill="FFFFFF"/>
            <w:vAlign w:val="center"/>
          </w:tcPr>
          <w:p w14:paraId="00DD82C4"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(3.159,6)</w:t>
            </w:r>
          </w:p>
        </w:tc>
        <w:tc>
          <w:tcPr>
            <w:tcW w:w="1984" w:type="dxa"/>
            <w:tcBorders>
              <w:top w:val="nil"/>
              <w:left w:val="nil"/>
              <w:bottom w:val="nil"/>
              <w:right w:val="single" w:sz="12" w:space="0" w:color="auto"/>
            </w:tcBorders>
            <w:shd w:val="clear" w:color="000000" w:fill="FFFFFF"/>
            <w:noWrap/>
            <w:vAlign w:val="center"/>
          </w:tcPr>
          <w:p w14:paraId="4CEE4530"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(2.044,0)</w:t>
            </w:r>
          </w:p>
        </w:tc>
      </w:tr>
      <w:tr w:rsidR="00D615F9" w:rsidRPr="00D12EF9" w14:paraId="346A2DA8" w14:textId="77777777" w:rsidTr="00E26FAE">
        <w:trPr>
          <w:trHeight w:val="197"/>
        </w:trPr>
        <w:tc>
          <w:tcPr>
            <w:tcW w:w="4238" w:type="dxa"/>
            <w:noWrap/>
            <w:hideMark/>
          </w:tcPr>
          <w:p w14:paraId="33DBE5E4" w14:textId="77777777" w:rsidR="00D615F9" w:rsidRPr="00D12EF9" w:rsidRDefault="00D615F9" w:rsidP="00035A93">
            <w:pPr>
              <w:tabs>
                <w:tab w:val="left" w:pos="404"/>
              </w:tabs>
              <w:rPr>
                <w:rFonts w:ascii="Ping LCG Regular" w:hAnsi="Ping LCG Regular" w:cs="Arial"/>
                <w:sz w:val="20"/>
                <w:szCs w:val="20"/>
              </w:rPr>
            </w:pPr>
            <w:r w:rsidRPr="00D12EF9">
              <w:rPr>
                <w:rFonts w:ascii="Ping LCG Regular" w:hAnsi="Ping LCG Regular" w:cs="Arial"/>
                <w:sz w:val="20"/>
                <w:szCs w:val="20"/>
              </w:rPr>
              <w:t>Δεσμευμένες Καταθέσεις</w:t>
            </w:r>
          </w:p>
        </w:tc>
        <w:tc>
          <w:tcPr>
            <w:tcW w:w="1276" w:type="dxa"/>
            <w:tcBorders>
              <w:top w:val="nil"/>
              <w:left w:val="nil"/>
              <w:bottom w:val="nil"/>
              <w:right w:val="nil"/>
            </w:tcBorders>
            <w:shd w:val="clear" w:color="000000" w:fill="FFFFFF"/>
            <w:noWrap/>
            <w:vAlign w:val="center"/>
          </w:tcPr>
          <w:p w14:paraId="160F2316"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(162,8)</w:t>
            </w:r>
          </w:p>
        </w:tc>
        <w:tc>
          <w:tcPr>
            <w:tcW w:w="2126" w:type="dxa"/>
            <w:tcBorders>
              <w:top w:val="nil"/>
              <w:left w:val="nil"/>
              <w:bottom w:val="nil"/>
              <w:right w:val="nil"/>
            </w:tcBorders>
            <w:shd w:val="clear" w:color="000000" w:fill="FFFFFF"/>
            <w:vAlign w:val="center"/>
          </w:tcPr>
          <w:p w14:paraId="5DC1D2DD"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 xml:space="preserve">            (50,8)</w:t>
            </w:r>
          </w:p>
        </w:tc>
        <w:tc>
          <w:tcPr>
            <w:tcW w:w="1984" w:type="dxa"/>
            <w:tcBorders>
              <w:top w:val="nil"/>
              <w:left w:val="nil"/>
              <w:bottom w:val="nil"/>
              <w:right w:val="single" w:sz="12" w:space="0" w:color="auto"/>
            </w:tcBorders>
            <w:shd w:val="clear" w:color="000000" w:fill="FFFFFF"/>
            <w:noWrap/>
            <w:vAlign w:val="center"/>
          </w:tcPr>
          <w:p w14:paraId="6FC35A40" w14:textId="0801C324"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 xml:space="preserve">                        (54,8)</w:t>
            </w:r>
          </w:p>
        </w:tc>
      </w:tr>
      <w:tr w:rsidR="00D615F9" w:rsidRPr="00D12EF9" w14:paraId="66582F1B" w14:textId="77777777" w:rsidTr="00E26FAE">
        <w:trPr>
          <w:trHeight w:val="358"/>
        </w:trPr>
        <w:tc>
          <w:tcPr>
            <w:tcW w:w="4238" w:type="dxa"/>
            <w:tcBorders>
              <w:bottom w:val="nil"/>
            </w:tcBorders>
            <w:hideMark/>
          </w:tcPr>
          <w:p w14:paraId="686648CA" w14:textId="77777777" w:rsidR="00D615F9" w:rsidRPr="00D615F9" w:rsidRDefault="00D615F9" w:rsidP="00035A93">
            <w:pPr>
              <w:tabs>
                <w:tab w:val="left" w:pos="404"/>
              </w:tabs>
              <w:rPr>
                <w:rFonts w:ascii="Ping LCG Regular" w:hAnsi="Ping LCG Regular" w:cs="Arial"/>
                <w:sz w:val="20"/>
                <w:szCs w:val="20"/>
                <w:lang w:val="el-GR"/>
              </w:rPr>
            </w:pPr>
            <w:r w:rsidRPr="00D615F9">
              <w:rPr>
                <w:rFonts w:ascii="Ping LCG Regular" w:hAnsi="Ping LCG Regular" w:cs="Arial"/>
                <w:sz w:val="20"/>
                <w:szCs w:val="20"/>
                <w:lang w:val="el-GR"/>
              </w:rPr>
              <w:t>Χρηματοοικονομικά περιουσιακά στοιχεία επιμετρούμενα στην εύλογη αξία μέσω των συνολικών αποτελεσμάτων</w:t>
            </w:r>
          </w:p>
        </w:tc>
        <w:tc>
          <w:tcPr>
            <w:tcW w:w="1276" w:type="dxa"/>
            <w:tcBorders>
              <w:top w:val="nil"/>
              <w:left w:val="nil"/>
              <w:bottom w:val="nil"/>
              <w:right w:val="nil"/>
            </w:tcBorders>
            <w:shd w:val="clear" w:color="000000" w:fill="FFFFFF"/>
            <w:noWrap/>
            <w:vAlign w:val="center"/>
          </w:tcPr>
          <w:p w14:paraId="37036784"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(0,3)</w:t>
            </w:r>
          </w:p>
        </w:tc>
        <w:tc>
          <w:tcPr>
            <w:tcW w:w="2126" w:type="dxa"/>
            <w:tcBorders>
              <w:top w:val="nil"/>
              <w:left w:val="nil"/>
              <w:bottom w:val="nil"/>
              <w:right w:val="nil"/>
            </w:tcBorders>
            <w:shd w:val="clear" w:color="000000" w:fill="FFFFFF"/>
            <w:vAlign w:val="center"/>
          </w:tcPr>
          <w:p w14:paraId="18A70FA4"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(0,3)</w:t>
            </w:r>
          </w:p>
        </w:tc>
        <w:tc>
          <w:tcPr>
            <w:tcW w:w="1984" w:type="dxa"/>
            <w:tcBorders>
              <w:top w:val="nil"/>
              <w:left w:val="nil"/>
              <w:bottom w:val="nil"/>
              <w:right w:val="single" w:sz="12" w:space="0" w:color="auto"/>
            </w:tcBorders>
            <w:shd w:val="clear" w:color="000000" w:fill="FFFFFF"/>
            <w:noWrap/>
            <w:vAlign w:val="center"/>
          </w:tcPr>
          <w:p w14:paraId="5C0FD481"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(0,3)</w:t>
            </w:r>
          </w:p>
        </w:tc>
      </w:tr>
      <w:tr w:rsidR="00D615F9" w:rsidRPr="00D12EF9" w14:paraId="796A8A22" w14:textId="77777777" w:rsidTr="00E26FAE">
        <w:trPr>
          <w:trHeight w:val="306"/>
        </w:trPr>
        <w:tc>
          <w:tcPr>
            <w:tcW w:w="4238" w:type="dxa"/>
            <w:tcBorders>
              <w:top w:val="nil"/>
              <w:bottom w:val="single" w:sz="12" w:space="0" w:color="auto"/>
            </w:tcBorders>
            <w:noWrap/>
            <w:hideMark/>
          </w:tcPr>
          <w:p w14:paraId="6013FB45" w14:textId="77777777" w:rsidR="00D615F9" w:rsidRPr="00D615F9" w:rsidRDefault="00D615F9" w:rsidP="00035A93">
            <w:pPr>
              <w:tabs>
                <w:tab w:val="left" w:pos="404"/>
              </w:tabs>
              <w:rPr>
                <w:rFonts w:ascii="Ping LCG Regular" w:hAnsi="Ping LCG Regular" w:cs="Arial"/>
                <w:sz w:val="20"/>
                <w:szCs w:val="20"/>
                <w:lang w:val="el-GR"/>
              </w:rPr>
            </w:pPr>
            <w:r w:rsidRPr="00D615F9">
              <w:rPr>
                <w:rFonts w:ascii="Ping LCG Regular" w:hAnsi="Ping LCG Regular" w:cs="Arial"/>
                <w:sz w:val="20"/>
                <w:szCs w:val="20"/>
                <w:lang w:val="el-GR"/>
              </w:rPr>
              <w:t>Αναπόσβεστο μέρος εξόδων σύναψης δανείων</w:t>
            </w:r>
          </w:p>
        </w:tc>
        <w:tc>
          <w:tcPr>
            <w:tcW w:w="1276" w:type="dxa"/>
            <w:tcBorders>
              <w:top w:val="nil"/>
              <w:left w:val="nil"/>
              <w:bottom w:val="nil"/>
              <w:right w:val="nil"/>
            </w:tcBorders>
            <w:shd w:val="clear" w:color="auto" w:fill="auto"/>
            <w:noWrap/>
            <w:vAlign w:val="center"/>
          </w:tcPr>
          <w:p w14:paraId="799B6572"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76,3</w:t>
            </w:r>
          </w:p>
        </w:tc>
        <w:tc>
          <w:tcPr>
            <w:tcW w:w="2126" w:type="dxa"/>
            <w:tcBorders>
              <w:top w:val="nil"/>
              <w:left w:val="nil"/>
              <w:bottom w:val="single" w:sz="12" w:space="0" w:color="auto"/>
              <w:right w:val="nil"/>
            </w:tcBorders>
            <w:shd w:val="clear" w:color="auto" w:fill="auto"/>
            <w:vAlign w:val="center"/>
          </w:tcPr>
          <w:p w14:paraId="598FCF62"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75,7</w:t>
            </w:r>
          </w:p>
        </w:tc>
        <w:tc>
          <w:tcPr>
            <w:tcW w:w="1984" w:type="dxa"/>
            <w:tcBorders>
              <w:top w:val="nil"/>
              <w:left w:val="nil"/>
              <w:bottom w:val="single" w:sz="12" w:space="0" w:color="auto"/>
              <w:right w:val="single" w:sz="12" w:space="0" w:color="auto"/>
            </w:tcBorders>
            <w:shd w:val="clear" w:color="000000" w:fill="FFFFFF"/>
            <w:noWrap/>
            <w:vAlign w:val="center"/>
          </w:tcPr>
          <w:p w14:paraId="7D13BDF0" w14:textId="77777777" w:rsidR="00D615F9" w:rsidRPr="00D12EF9" w:rsidRDefault="00D615F9" w:rsidP="00035A93">
            <w:pPr>
              <w:tabs>
                <w:tab w:val="left" w:pos="404"/>
              </w:tabs>
              <w:jc w:val="right"/>
              <w:rPr>
                <w:rFonts w:ascii="Ping LCG Regular" w:hAnsi="Ping LCG Regular" w:cs="Arial"/>
                <w:sz w:val="20"/>
                <w:szCs w:val="20"/>
              </w:rPr>
            </w:pPr>
            <w:r w:rsidRPr="00D12EF9">
              <w:rPr>
                <w:rFonts w:ascii="Ping LCG Regular" w:hAnsi="Ping LCG Regular" w:cs="Arial"/>
                <w:sz w:val="20"/>
                <w:szCs w:val="20"/>
              </w:rPr>
              <w:t>78,2</w:t>
            </w:r>
          </w:p>
        </w:tc>
      </w:tr>
      <w:tr w:rsidR="00D615F9" w:rsidRPr="00D12EF9" w14:paraId="0CBE4164" w14:textId="77777777" w:rsidTr="00E26FAE">
        <w:trPr>
          <w:trHeight w:val="148"/>
        </w:trPr>
        <w:tc>
          <w:tcPr>
            <w:tcW w:w="4238" w:type="dxa"/>
            <w:tcBorders>
              <w:top w:val="single" w:sz="12" w:space="0" w:color="auto"/>
              <w:bottom w:val="single" w:sz="12" w:space="0" w:color="auto"/>
            </w:tcBorders>
            <w:noWrap/>
            <w:hideMark/>
          </w:tcPr>
          <w:p w14:paraId="07423490" w14:textId="77777777" w:rsidR="00D615F9" w:rsidRPr="00D12EF9" w:rsidRDefault="00D615F9" w:rsidP="00035A93">
            <w:pPr>
              <w:tabs>
                <w:tab w:val="left" w:pos="404"/>
              </w:tabs>
              <w:rPr>
                <w:rFonts w:ascii="Ping LCG Regular" w:hAnsi="Ping LCG Regular" w:cs="Arial"/>
                <w:b/>
                <w:bCs/>
                <w:sz w:val="20"/>
                <w:szCs w:val="20"/>
              </w:rPr>
            </w:pPr>
            <w:r w:rsidRPr="00D12EF9">
              <w:rPr>
                <w:rFonts w:ascii="Ping LCG Regular" w:hAnsi="Ping LCG Regular" w:cs="Arial"/>
                <w:b/>
                <w:bCs/>
                <w:sz w:val="20"/>
                <w:szCs w:val="20"/>
              </w:rPr>
              <w:t>ΣΥΝΟΛΟ</w:t>
            </w:r>
          </w:p>
        </w:tc>
        <w:tc>
          <w:tcPr>
            <w:tcW w:w="1276" w:type="dxa"/>
            <w:tcBorders>
              <w:top w:val="single" w:sz="12" w:space="0" w:color="auto"/>
              <w:bottom w:val="single" w:sz="12" w:space="0" w:color="auto"/>
            </w:tcBorders>
            <w:noWrap/>
            <w:vAlign w:val="center"/>
          </w:tcPr>
          <w:p w14:paraId="11E735AF" w14:textId="77777777" w:rsidR="00D615F9" w:rsidRPr="00D12EF9" w:rsidRDefault="00D615F9" w:rsidP="00035A93">
            <w:pPr>
              <w:tabs>
                <w:tab w:val="left" w:pos="404"/>
              </w:tabs>
              <w:jc w:val="right"/>
              <w:rPr>
                <w:rFonts w:ascii="Ping LCG Regular" w:hAnsi="Ping LCG Regular" w:cs="Arial"/>
                <w:b/>
                <w:bCs/>
                <w:sz w:val="20"/>
                <w:szCs w:val="20"/>
              </w:rPr>
            </w:pPr>
            <w:r w:rsidRPr="00D12EF9">
              <w:rPr>
                <w:rFonts w:ascii="Ping LCG Regular" w:hAnsi="Ping LCG Regular" w:cs="Arial"/>
                <w:b/>
                <w:bCs/>
                <w:sz w:val="20"/>
                <w:szCs w:val="20"/>
              </w:rPr>
              <w:t>2.187,7</w:t>
            </w:r>
          </w:p>
        </w:tc>
        <w:tc>
          <w:tcPr>
            <w:tcW w:w="2126" w:type="dxa"/>
            <w:tcBorders>
              <w:top w:val="single" w:sz="12" w:space="0" w:color="auto"/>
              <w:left w:val="nil"/>
              <w:bottom w:val="single" w:sz="12" w:space="0" w:color="auto"/>
              <w:right w:val="nil"/>
            </w:tcBorders>
            <w:shd w:val="clear" w:color="000000" w:fill="FFFFFF"/>
            <w:vAlign w:val="center"/>
          </w:tcPr>
          <w:p w14:paraId="6E0324FB" w14:textId="77777777" w:rsidR="00D615F9" w:rsidRPr="00D12EF9" w:rsidRDefault="00D615F9" w:rsidP="00035A93">
            <w:pPr>
              <w:tabs>
                <w:tab w:val="left" w:pos="404"/>
              </w:tabs>
              <w:jc w:val="right"/>
              <w:rPr>
                <w:rFonts w:ascii="Ping LCG Regular" w:hAnsi="Ping LCG Regular" w:cs="Arial"/>
                <w:b/>
                <w:bCs/>
                <w:sz w:val="20"/>
                <w:szCs w:val="20"/>
              </w:rPr>
            </w:pPr>
            <w:r w:rsidRPr="00D12EF9">
              <w:rPr>
                <w:rFonts w:ascii="Ping LCG Regular" w:hAnsi="Ping LCG Regular" w:cs="Arial"/>
                <w:b/>
                <w:bCs/>
                <w:sz w:val="20"/>
                <w:szCs w:val="20"/>
              </w:rPr>
              <w:t>1.388,1</w:t>
            </w:r>
          </w:p>
        </w:tc>
        <w:tc>
          <w:tcPr>
            <w:tcW w:w="1984" w:type="dxa"/>
            <w:tcBorders>
              <w:top w:val="single" w:sz="12" w:space="0" w:color="auto"/>
              <w:bottom w:val="single" w:sz="12" w:space="0" w:color="auto"/>
              <w:right w:val="single" w:sz="12" w:space="0" w:color="auto"/>
            </w:tcBorders>
            <w:vAlign w:val="center"/>
          </w:tcPr>
          <w:p w14:paraId="09AEAA0C" w14:textId="77777777" w:rsidR="00D615F9" w:rsidRPr="00D12EF9" w:rsidRDefault="00D615F9" w:rsidP="00035A93">
            <w:pPr>
              <w:tabs>
                <w:tab w:val="left" w:pos="404"/>
              </w:tabs>
              <w:jc w:val="right"/>
              <w:rPr>
                <w:rFonts w:ascii="Ping LCG Regular" w:hAnsi="Ping LCG Regular" w:cs="Arial"/>
                <w:b/>
                <w:bCs/>
                <w:sz w:val="20"/>
                <w:szCs w:val="20"/>
              </w:rPr>
            </w:pPr>
            <w:r w:rsidRPr="00D12EF9">
              <w:rPr>
                <w:rFonts w:ascii="Ping LCG Regular" w:hAnsi="Ping LCG Regular" w:cs="Arial"/>
                <w:b/>
                <w:bCs/>
                <w:sz w:val="20"/>
                <w:szCs w:val="20"/>
              </w:rPr>
              <w:t>2.610,5</w:t>
            </w:r>
          </w:p>
        </w:tc>
      </w:tr>
    </w:tbl>
    <w:p w14:paraId="79DF4130" w14:textId="77777777" w:rsidR="00D615F9" w:rsidRPr="00D12EF9" w:rsidRDefault="00D615F9" w:rsidP="00D615F9">
      <w:pPr>
        <w:tabs>
          <w:tab w:val="left" w:pos="404"/>
        </w:tabs>
        <w:rPr>
          <w:rFonts w:ascii="Ping LCG Regular" w:hAnsi="Ping LCG Regular" w:cs="Arial"/>
          <w:sz w:val="20"/>
          <w:szCs w:val="20"/>
        </w:rPr>
      </w:pPr>
    </w:p>
    <w:p w14:paraId="3BD808AB" w14:textId="77777777" w:rsidR="00D615F9" w:rsidRPr="005620CF" w:rsidRDefault="00D615F9" w:rsidP="00E72B59">
      <w:pPr>
        <w:autoSpaceDE w:val="0"/>
        <w:autoSpaceDN w:val="0"/>
        <w:adjustRightInd w:val="0"/>
        <w:spacing w:after="160"/>
        <w:rPr>
          <w:rFonts w:ascii="Ping LCG Regular" w:hAnsi="Ping LCG Regular" w:cs="Arial"/>
          <w:b/>
          <w:color w:val="000000"/>
          <w:sz w:val="20"/>
          <w:szCs w:val="20"/>
          <w:lang w:val="el-GR"/>
        </w:rPr>
      </w:pPr>
    </w:p>
    <w:sectPr w:rsidR="00D615F9" w:rsidRPr="005620CF" w:rsidSect="00AC2B39">
      <w:headerReference w:type="even" r:id="rId22"/>
      <w:headerReference w:type="default" r:id="rId23"/>
      <w:footerReference w:type="even" r:id="rId24"/>
      <w:footerReference w:type="default" r:id="rId25"/>
      <w:headerReference w:type="first" r:id="rId26"/>
      <w:footerReference w:type="first" r:id="rId27"/>
      <w:pgSz w:w="11900" w:h="16840"/>
      <w:pgMar w:top="720" w:right="985" w:bottom="851" w:left="1134" w:header="98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296AC" w14:textId="77777777" w:rsidR="00826127" w:rsidRDefault="00826127" w:rsidP="000E10BE">
      <w:r>
        <w:separator/>
      </w:r>
    </w:p>
  </w:endnote>
  <w:endnote w:type="continuationSeparator" w:id="0">
    <w:p w14:paraId="4BA2B7DC" w14:textId="77777777" w:rsidR="00826127" w:rsidRDefault="00826127" w:rsidP="000E10BE">
      <w:r>
        <w:continuationSeparator/>
      </w:r>
    </w:p>
  </w:endnote>
  <w:endnote w:type="continuationNotice" w:id="1">
    <w:p w14:paraId="5677D214" w14:textId="77777777" w:rsidR="00826127" w:rsidRDefault="0082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Yu Gothic Light">
    <w:altName w:val="游ゴシック Light"/>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A1"/>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Ping LCG Regular">
    <w:altName w:val="Calibri"/>
    <w:panose1 w:val="00000000000000000000"/>
    <w:charset w:val="00"/>
    <w:family w:val="modern"/>
    <w:notTrueType/>
    <w:pitch w:val="variable"/>
    <w:sig w:usb0="E00002FF" w:usb1="5001E47B" w:usb2="00000000" w:usb3="00000000" w:csb0="0000019F" w:csb1="00000000"/>
  </w:font>
  <w:font w:name="Ping LCG Bold">
    <w:altName w:val="Arial"/>
    <w:panose1 w:val="00000000000000000000"/>
    <w:charset w:val="00"/>
    <w:family w:val="modern"/>
    <w:notTrueType/>
    <w:pitch w:val="variable"/>
    <w:sig w:usb0="00000001" w:usb1="5001E47B"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300C7" w14:textId="77777777" w:rsidR="00847C98" w:rsidRDefault="00847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l-GR"/>
      </w:rPr>
      <w:id w:val="360316571"/>
      <w:docPartObj>
        <w:docPartGallery w:val="Page Numbers (Bottom of Page)"/>
        <w:docPartUnique/>
      </w:docPartObj>
    </w:sdtPr>
    <w:sdtEndPr/>
    <w:sdtContent>
      <w:p w14:paraId="14BCB474" w14:textId="272E6DFA" w:rsidR="007A0DF1" w:rsidRDefault="007A0DF1">
        <w:pPr>
          <w:pStyle w:val="Footer"/>
          <w:jc w:val="center"/>
        </w:pPr>
        <w:r>
          <w:fldChar w:fldCharType="begin"/>
        </w:r>
        <w:r>
          <w:instrText>PAGE   \* MERGEFORMAT</w:instrText>
        </w:r>
        <w:r>
          <w:fldChar w:fldCharType="separate"/>
        </w:r>
        <w:r w:rsidR="0076500A" w:rsidRPr="0076500A">
          <w:rPr>
            <w:noProof/>
            <w:lang w:val="el-GR"/>
          </w:rPr>
          <w:t>1</w:t>
        </w:r>
        <w:r>
          <w:fldChar w:fldCharType="end"/>
        </w:r>
      </w:p>
    </w:sdtContent>
  </w:sdt>
  <w:p w14:paraId="250A1140" w14:textId="77777777" w:rsidR="007A0DF1" w:rsidRDefault="007A0DF1">
    <w:pPr>
      <w:pStyle w:val="Footer"/>
    </w:pPr>
  </w:p>
  <w:p w14:paraId="62EC8CAA" w14:textId="77777777" w:rsidR="00C72D7E" w:rsidRDefault="00C72D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0FBBF" w14:textId="77777777" w:rsidR="00847C98" w:rsidRDefault="00847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582F2" w14:textId="77777777" w:rsidR="00826127" w:rsidRDefault="00826127" w:rsidP="000E10BE">
      <w:r>
        <w:separator/>
      </w:r>
    </w:p>
  </w:footnote>
  <w:footnote w:type="continuationSeparator" w:id="0">
    <w:p w14:paraId="140B74D6" w14:textId="77777777" w:rsidR="00826127" w:rsidRDefault="00826127" w:rsidP="000E10BE">
      <w:r>
        <w:continuationSeparator/>
      </w:r>
    </w:p>
  </w:footnote>
  <w:footnote w:type="continuationNotice" w:id="1">
    <w:p w14:paraId="5DF0D2BD" w14:textId="77777777" w:rsidR="00826127" w:rsidRDefault="00826127"/>
  </w:footnote>
  <w:footnote w:id="2">
    <w:p w14:paraId="7C78E177" w14:textId="365BB5B1" w:rsidR="00865614" w:rsidRPr="00865614" w:rsidRDefault="00865614">
      <w:pPr>
        <w:pStyle w:val="FootnoteText"/>
        <w:rPr>
          <w:lang w:val="el-GR"/>
        </w:rPr>
      </w:pPr>
      <w:r>
        <w:rPr>
          <w:rStyle w:val="FootnoteReference"/>
        </w:rPr>
        <w:footnoteRef/>
      </w:r>
      <w:r w:rsidRPr="00A06313">
        <w:rPr>
          <w:lang w:val="el-GR"/>
        </w:rPr>
        <w:t xml:space="preserve"> </w:t>
      </w:r>
      <w:r w:rsidR="00A06313" w:rsidRPr="00A06313">
        <w:rPr>
          <w:lang w:val="el-GR"/>
        </w:rPr>
        <w:t>με βάση τα στοιχεία που δημοσιεύει ο Όμιλος Χρηματιστηρίου Ενέργειας (EnEx)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81699" w14:textId="77777777" w:rsidR="00847C98" w:rsidRDefault="00847C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83DFD" w14:textId="78480853" w:rsidR="007A0DF1" w:rsidRPr="00847C98" w:rsidRDefault="007A0DF1">
    <w:pPr>
      <w:pStyle w:val="Header"/>
      <w:rPr>
        <w:rFonts w:ascii="Ping LCG Regular" w:hAnsi="Ping LCG Regular"/>
        <w:sz w:val="20"/>
        <w:szCs w:val="20"/>
      </w:rPr>
    </w:pPr>
    <w:r w:rsidRPr="00847C98">
      <w:rPr>
        <w:rFonts w:ascii="Ping LCG Regular" w:hAnsi="Ping LCG Regular"/>
        <w:noProof/>
        <w:sz w:val="18"/>
        <w:szCs w:val="18"/>
        <w:lang w:val="el-GR" w:eastAsia="el-GR"/>
      </w:rPr>
      <w:drawing>
        <wp:anchor distT="0" distB="0" distL="114300" distR="114300" simplePos="0" relativeHeight="251658240" behindDoc="1" locked="0" layoutInCell="1" allowOverlap="1" wp14:anchorId="06631F23" wp14:editId="425013DF">
          <wp:simplePos x="0" y="0"/>
          <wp:positionH relativeFrom="page">
            <wp:posOffset>5591175</wp:posOffset>
          </wp:positionH>
          <wp:positionV relativeFrom="page">
            <wp:posOffset>-74295</wp:posOffset>
          </wp:positionV>
          <wp:extent cx="1609200" cy="160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EI_Logo_RGB-with-safe-area.png"/>
                  <pic:cNvPicPr/>
                </pic:nvPicPr>
                <pic:blipFill>
                  <a:blip r:embed="rId1">
                    <a:extLst>
                      <a:ext uri="{28A0092B-C50C-407E-A947-70E740481C1C}">
                        <a14:useLocalDpi xmlns:a14="http://schemas.microsoft.com/office/drawing/2010/main" val="0"/>
                      </a:ext>
                    </a:extLst>
                  </a:blip>
                  <a:stretch>
                    <a:fillRect/>
                  </a:stretch>
                </pic:blipFill>
                <pic:spPr>
                  <a:xfrm>
                    <a:off x="0" y="0"/>
                    <a:ext cx="1609200" cy="1609200"/>
                  </a:xfrm>
                  <a:prstGeom prst="rect">
                    <a:avLst/>
                  </a:prstGeom>
                </pic:spPr>
              </pic:pic>
            </a:graphicData>
          </a:graphic>
          <wp14:sizeRelH relativeFrom="page">
            <wp14:pctWidth>0</wp14:pctWidth>
          </wp14:sizeRelH>
          <wp14:sizeRelV relativeFrom="page">
            <wp14:pctHeight>0</wp14:pctHeight>
          </wp14:sizeRelV>
        </wp:anchor>
      </w:drawing>
    </w:r>
    <w:r w:rsidRPr="00847C98">
      <w:rPr>
        <w:rFonts w:ascii="Ping LCG Regular" w:hAnsi="Ping LCG Regular"/>
        <w:sz w:val="20"/>
        <w:szCs w:val="20"/>
      </w:rPr>
      <w:t xml:space="preserve">Διεύθυνση </w:t>
    </w:r>
    <w:r w:rsidRPr="00847C98">
      <w:rPr>
        <w:rFonts w:ascii="Ping LCG Regular" w:hAnsi="Ping LCG Regular"/>
        <w:sz w:val="20"/>
        <w:szCs w:val="20"/>
      </w:rPr>
      <w:br/>
      <w:t xml:space="preserve">Επενδυτικών </w:t>
    </w:r>
    <w:r w:rsidRPr="00847C98">
      <w:rPr>
        <w:rFonts w:ascii="Ping LCG Regular" w:hAnsi="Ping LCG Regular"/>
        <w:sz w:val="20"/>
        <w:szCs w:val="20"/>
      </w:rPr>
      <w:br/>
      <w:t>Σχέσεων</w:t>
    </w:r>
  </w:p>
  <w:p w14:paraId="03EE564A" w14:textId="13C504A5" w:rsidR="007A0DF1" w:rsidRPr="00847C98" w:rsidRDefault="007A0DF1">
    <w:pPr>
      <w:pStyle w:val="Header"/>
      <w:rPr>
        <w:rFonts w:ascii="Ping LCG Regular" w:hAnsi="Ping LCG Regular"/>
        <w:sz w:val="18"/>
        <w:szCs w:val="18"/>
      </w:rPr>
    </w:pPr>
  </w:p>
  <w:p w14:paraId="008678F8" w14:textId="78168467" w:rsidR="007A0DF1" w:rsidRDefault="007A0DF1">
    <w:pPr>
      <w:pStyle w:val="Header"/>
    </w:pPr>
  </w:p>
  <w:p w14:paraId="3FEADFDC" w14:textId="77777777" w:rsidR="00C72D7E" w:rsidRDefault="00C72D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C6F63" w14:textId="77777777" w:rsidR="00847C98" w:rsidRDefault="00847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2B8"/>
    <w:multiLevelType w:val="hybridMultilevel"/>
    <w:tmpl w:val="14A0C014"/>
    <w:lvl w:ilvl="0" w:tplc="0000000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6116690"/>
    <w:multiLevelType w:val="hybridMultilevel"/>
    <w:tmpl w:val="84ECCD3E"/>
    <w:lvl w:ilvl="0" w:tplc="04080003">
      <w:start w:val="1"/>
      <w:numFmt w:val="bullet"/>
      <w:lvlText w:val="o"/>
      <w:lvlJc w:val="left"/>
      <w:pPr>
        <w:ind w:left="717" w:hanging="360"/>
      </w:pPr>
      <w:rPr>
        <w:rFonts w:ascii="Courier New" w:hAnsi="Courier New" w:cs="Courier New" w:hint="default"/>
      </w:rPr>
    </w:lvl>
    <w:lvl w:ilvl="1" w:tplc="FFFFFFFF">
      <w:start w:val="1"/>
      <w:numFmt w:val="bullet"/>
      <w:lvlText w:val="o"/>
      <w:lvlJc w:val="left"/>
      <w:pPr>
        <w:ind w:left="1437" w:hanging="360"/>
      </w:pPr>
      <w:rPr>
        <w:rFonts w:ascii="Courier New" w:hAnsi="Courier New" w:cs="Courier New" w:hint="default"/>
      </w:rPr>
    </w:lvl>
    <w:lvl w:ilvl="2" w:tplc="FFFFFFFF">
      <w:start w:val="1"/>
      <w:numFmt w:val="bullet"/>
      <w:lvlText w:val=""/>
      <w:lvlJc w:val="left"/>
      <w:pPr>
        <w:ind w:left="2157" w:hanging="360"/>
      </w:pPr>
      <w:rPr>
        <w:rFonts w:ascii="Wingdings" w:hAnsi="Wingdings" w:hint="default"/>
      </w:rPr>
    </w:lvl>
    <w:lvl w:ilvl="3" w:tplc="FFFFFFFF">
      <w:start w:val="1"/>
      <w:numFmt w:val="bullet"/>
      <w:lvlText w:val=""/>
      <w:lvlJc w:val="left"/>
      <w:pPr>
        <w:ind w:left="2877" w:hanging="360"/>
      </w:pPr>
      <w:rPr>
        <w:rFonts w:ascii="Symbol" w:hAnsi="Symbol" w:hint="default"/>
      </w:rPr>
    </w:lvl>
    <w:lvl w:ilvl="4" w:tplc="FFFFFFFF">
      <w:start w:val="1"/>
      <w:numFmt w:val="bullet"/>
      <w:lvlText w:val="o"/>
      <w:lvlJc w:val="left"/>
      <w:pPr>
        <w:ind w:left="3597" w:hanging="360"/>
      </w:pPr>
      <w:rPr>
        <w:rFonts w:ascii="Courier New" w:hAnsi="Courier New" w:cs="Courier New" w:hint="default"/>
      </w:rPr>
    </w:lvl>
    <w:lvl w:ilvl="5" w:tplc="FFFFFFFF">
      <w:start w:val="1"/>
      <w:numFmt w:val="bullet"/>
      <w:lvlText w:val=""/>
      <w:lvlJc w:val="left"/>
      <w:pPr>
        <w:ind w:left="4317" w:hanging="360"/>
      </w:pPr>
      <w:rPr>
        <w:rFonts w:ascii="Wingdings" w:hAnsi="Wingdings" w:hint="default"/>
      </w:rPr>
    </w:lvl>
    <w:lvl w:ilvl="6" w:tplc="FFFFFFFF">
      <w:start w:val="1"/>
      <w:numFmt w:val="bullet"/>
      <w:lvlText w:val=""/>
      <w:lvlJc w:val="left"/>
      <w:pPr>
        <w:ind w:left="5037" w:hanging="360"/>
      </w:pPr>
      <w:rPr>
        <w:rFonts w:ascii="Symbol" w:hAnsi="Symbol" w:hint="default"/>
      </w:rPr>
    </w:lvl>
    <w:lvl w:ilvl="7" w:tplc="FFFFFFFF">
      <w:start w:val="1"/>
      <w:numFmt w:val="bullet"/>
      <w:lvlText w:val="o"/>
      <w:lvlJc w:val="left"/>
      <w:pPr>
        <w:ind w:left="5757" w:hanging="360"/>
      </w:pPr>
      <w:rPr>
        <w:rFonts w:ascii="Courier New" w:hAnsi="Courier New" w:cs="Courier New" w:hint="default"/>
      </w:rPr>
    </w:lvl>
    <w:lvl w:ilvl="8" w:tplc="FFFFFFFF">
      <w:start w:val="1"/>
      <w:numFmt w:val="bullet"/>
      <w:lvlText w:val=""/>
      <w:lvlJc w:val="left"/>
      <w:pPr>
        <w:ind w:left="6477" w:hanging="360"/>
      </w:pPr>
      <w:rPr>
        <w:rFonts w:ascii="Wingdings" w:hAnsi="Wingdings" w:hint="default"/>
      </w:rPr>
    </w:lvl>
  </w:abstractNum>
  <w:abstractNum w:abstractNumId="2" w15:restartNumberingAfterBreak="0">
    <w:nsid w:val="099D6B76"/>
    <w:multiLevelType w:val="hybridMultilevel"/>
    <w:tmpl w:val="DADEF2F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8677E7"/>
    <w:multiLevelType w:val="hybridMultilevel"/>
    <w:tmpl w:val="6FD00A80"/>
    <w:lvl w:ilvl="0" w:tplc="00000001">
      <w:numFmt w:val="bullet"/>
      <w:lvlText w:val="-"/>
      <w:lvlJc w:val="left"/>
      <w:pPr>
        <w:ind w:left="717" w:hanging="360"/>
      </w:pPr>
      <w:rPr>
        <w:rFonts w:ascii="Times New Roman" w:hAnsi="Times New Roman" w:cs="Times New Roman"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4" w15:restartNumberingAfterBreak="0">
    <w:nsid w:val="0A8B21C7"/>
    <w:multiLevelType w:val="hybridMultilevel"/>
    <w:tmpl w:val="00E81F68"/>
    <w:lvl w:ilvl="0" w:tplc="00000001">
      <w:numFmt w:val="bullet"/>
      <w:lvlText w:val="-"/>
      <w:lvlJc w:val="left"/>
      <w:pPr>
        <w:ind w:left="540" w:hanging="360"/>
      </w:pPr>
      <w:rPr>
        <w:rFonts w:ascii="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BDC29CE"/>
    <w:multiLevelType w:val="hybridMultilevel"/>
    <w:tmpl w:val="D8A4A3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5D7ADD"/>
    <w:multiLevelType w:val="hybridMultilevel"/>
    <w:tmpl w:val="757A65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AF6C19"/>
    <w:multiLevelType w:val="hybridMultilevel"/>
    <w:tmpl w:val="9B48944C"/>
    <w:lvl w:ilvl="0" w:tplc="CB68E564">
      <w:numFmt w:val="bullet"/>
      <w:lvlText w:val="-"/>
      <w:lvlJc w:val="left"/>
      <w:pPr>
        <w:ind w:left="731" w:hanging="360"/>
      </w:pPr>
      <w:rPr>
        <w:rFonts w:ascii="Arial" w:eastAsia="Times New Roman" w:hAnsi="Arial" w:cs="Arial" w:hint="default"/>
      </w:rPr>
    </w:lvl>
    <w:lvl w:ilvl="1" w:tplc="04080003" w:tentative="1">
      <w:start w:val="1"/>
      <w:numFmt w:val="bullet"/>
      <w:lvlText w:val="o"/>
      <w:lvlJc w:val="left"/>
      <w:pPr>
        <w:ind w:left="1451" w:hanging="360"/>
      </w:pPr>
      <w:rPr>
        <w:rFonts w:ascii="Courier New" w:hAnsi="Courier New" w:cs="Courier New" w:hint="default"/>
      </w:rPr>
    </w:lvl>
    <w:lvl w:ilvl="2" w:tplc="04080005" w:tentative="1">
      <w:start w:val="1"/>
      <w:numFmt w:val="bullet"/>
      <w:lvlText w:val=""/>
      <w:lvlJc w:val="left"/>
      <w:pPr>
        <w:ind w:left="2171" w:hanging="360"/>
      </w:pPr>
      <w:rPr>
        <w:rFonts w:ascii="Wingdings" w:hAnsi="Wingdings" w:hint="default"/>
      </w:rPr>
    </w:lvl>
    <w:lvl w:ilvl="3" w:tplc="04080001" w:tentative="1">
      <w:start w:val="1"/>
      <w:numFmt w:val="bullet"/>
      <w:lvlText w:val=""/>
      <w:lvlJc w:val="left"/>
      <w:pPr>
        <w:ind w:left="2891" w:hanging="360"/>
      </w:pPr>
      <w:rPr>
        <w:rFonts w:ascii="Symbol" w:hAnsi="Symbol" w:hint="default"/>
      </w:rPr>
    </w:lvl>
    <w:lvl w:ilvl="4" w:tplc="04080003" w:tentative="1">
      <w:start w:val="1"/>
      <w:numFmt w:val="bullet"/>
      <w:lvlText w:val="o"/>
      <w:lvlJc w:val="left"/>
      <w:pPr>
        <w:ind w:left="3611" w:hanging="360"/>
      </w:pPr>
      <w:rPr>
        <w:rFonts w:ascii="Courier New" w:hAnsi="Courier New" w:cs="Courier New" w:hint="default"/>
      </w:rPr>
    </w:lvl>
    <w:lvl w:ilvl="5" w:tplc="04080005" w:tentative="1">
      <w:start w:val="1"/>
      <w:numFmt w:val="bullet"/>
      <w:lvlText w:val=""/>
      <w:lvlJc w:val="left"/>
      <w:pPr>
        <w:ind w:left="4331" w:hanging="360"/>
      </w:pPr>
      <w:rPr>
        <w:rFonts w:ascii="Wingdings" w:hAnsi="Wingdings" w:hint="default"/>
      </w:rPr>
    </w:lvl>
    <w:lvl w:ilvl="6" w:tplc="04080001" w:tentative="1">
      <w:start w:val="1"/>
      <w:numFmt w:val="bullet"/>
      <w:lvlText w:val=""/>
      <w:lvlJc w:val="left"/>
      <w:pPr>
        <w:ind w:left="5051" w:hanging="360"/>
      </w:pPr>
      <w:rPr>
        <w:rFonts w:ascii="Symbol" w:hAnsi="Symbol" w:hint="default"/>
      </w:rPr>
    </w:lvl>
    <w:lvl w:ilvl="7" w:tplc="04080003" w:tentative="1">
      <w:start w:val="1"/>
      <w:numFmt w:val="bullet"/>
      <w:lvlText w:val="o"/>
      <w:lvlJc w:val="left"/>
      <w:pPr>
        <w:ind w:left="5771" w:hanging="360"/>
      </w:pPr>
      <w:rPr>
        <w:rFonts w:ascii="Courier New" w:hAnsi="Courier New" w:cs="Courier New" w:hint="default"/>
      </w:rPr>
    </w:lvl>
    <w:lvl w:ilvl="8" w:tplc="04080005" w:tentative="1">
      <w:start w:val="1"/>
      <w:numFmt w:val="bullet"/>
      <w:lvlText w:val=""/>
      <w:lvlJc w:val="left"/>
      <w:pPr>
        <w:ind w:left="6491" w:hanging="360"/>
      </w:pPr>
      <w:rPr>
        <w:rFonts w:ascii="Wingdings" w:hAnsi="Wingdings" w:hint="default"/>
      </w:rPr>
    </w:lvl>
  </w:abstractNum>
  <w:abstractNum w:abstractNumId="8" w15:restartNumberingAfterBreak="0">
    <w:nsid w:val="170A072E"/>
    <w:multiLevelType w:val="hybridMultilevel"/>
    <w:tmpl w:val="27DEF4BC"/>
    <w:lvl w:ilvl="0" w:tplc="5D96AB8E">
      <w:start w:val="1"/>
      <w:numFmt w:val="bullet"/>
      <w:lvlText w:val=""/>
      <w:lvlJc w:val="left"/>
      <w:pPr>
        <w:tabs>
          <w:tab w:val="num" w:pos="720"/>
        </w:tabs>
        <w:ind w:left="720" w:hanging="360"/>
      </w:pPr>
      <w:rPr>
        <w:rFonts w:ascii="Wingdings" w:hAnsi="Wingdings" w:hint="default"/>
      </w:rPr>
    </w:lvl>
    <w:lvl w:ilvl="1" w:tplc="150A89C8">
      <w:start w:val="1"/>
      <w:numFmt w:val="bullet"/>
      <w:lvlText w:val=""/>
      <w:lvlJc w:val="left"/>
      <w:pPr>
        <w:tabs>
          <w:tab w:val="num" w:pos="1440"/>
        </w:tabs>
        <w:ind w:left="1440" w:hanging="360"/>
      </w:pPr>
      <w:rPr>
        <w:rFonts w:ascii="Wingdings" w:hAnsi="Wingdings" w:hint="default"/>
      </w:rPr>
    </w:lvl>
    <w:lvl w:ilvl="2" w:tplc="2436B798" w:tentative="1">
      <w:start w:val="1"/>
      <w:numFmt w:val="bullet"/>
      <w:lvlText w:val=""/>
      <w:lvlJc w:val="left"/>
      <w:pPr>
        <w:tabs>
          <w:tab w:val="num" w:pos="2160"/>
        </w:tabs>
        <w:ind w:left="2160" w:hanging="360"/>
      </w:pPr>
      <w:rPr>
        <w:rFonts w:ascii="Wingdings" w:hAnsi="Wingdings" w:hint="default"/>
      </w:rPr>
    </w:lvl>
    <w:lvl w:ilvl="3" w:tplc="BFE652CA" w:tentative="1">
      <w:start w:val="1"/>
      <w:numFmt w:val="bullet"/>
      <w:lvlText w:val=""/>
      <w:lvlJc w:val="left"/>
      <w:pPr>
        <w:tabs>
          <w:tab w:val="num" w:pos="2880"/>
        </w:tabs>
        <w:ind w:left="2880" w:hanging="360"/>
      </w:pPr>
      <w:rPr>
        <w:rFonts w:ascii="Wingdings" w:hAnsi="Wingdings" w:hint="default"/>
      </w:rPr>
    </w:lvl>
    <w:lvl w:ilvl="4" w:tplc="A016DD7E" w:tentative="1">
      <w:start w:val="1"/>
      <w:numFmt w:val="bullet"/>
      <w:lvlText w:val=""/>
      <w:lvlJc w:val="left"/>
      <w:pPr>
        <w:tabs>
          <w:tab w:val="num" w:pos="3600"/>
        </w:tabs>
        <w:ind w:left="3600" w:hanging="360"/>
      </w:pPr>
      <w:rPr>
        <w:rFonts w:ascii="Wingdings" w:hAnsi="Wingdings" w:hint="default"/>
      </w:rPr>
    </w:lvl>
    <w:lvl w:ilvl="5" w:tplc="C35E7BD6" w:tentative="1">
      <w:start w:val="1"/>
      <w:numFmt w:val="bullet"/>
      <w:lvlText w:val=""/>
      <w:lvlJc w:val="left"/>
      <w:pPr>
        <w:tabs>
          <w:tab w:val="num" w:pos="4320"/>
        </w:tabs>
        <w:ind w:left="4320" w:hanging="360"/>
      </w:pPr>
      <w:rPr>
        <w:rFonts w:ascii="Wingdings" w:hAnsi="Wingdings" w:hint="default"/>
      </w:rPr>
    </w:lvl>
    <w:lvl w:ilvl="6" w:tplc="4CF82B56" w:tentative="1">
      <w:start w:val="1"/>
      <w:numFmt w:val="bullet"/>
      <w:lvlText w:val=""/>
      <w:lvlJc w:val="left"/>
      <w:pPr>
        <w:tabs>
          <w:tab w:val="num" w:pos="5040"/>
        </w:tabs>
        <w:ind w:left="5040" w:hanging="360"/>
      </w:pPr>
      <w:rPr>
        <w:rFonts w:ascii="Wingdings" w:hAnsi="Wingdings" w:hint="default"/>
      </w:rPr>
    </w:lvl>
    <w:lvl w:ilvl="7" w:tplc="F61891EC" w:tentative="1">
      <w:start w:val="1"/>
      <w:numFmt w:val="bullet"/>
      <w:lvlText w:val=""/>
      <w:lvlJc w:val="left"/>
      <w:pPr>
        <w:tabs>
          <w:tab w:val="num" w:pos="5760"/>
        </w:tabs>
        <w:ind w:left="5760" w:hanging="360"/>
      </w:pPr>
      <w:rPr>
        <w:rFonts w:ascii="Wingdings" w:hAnsi="Wingdings" w:hint="default"/>
      </w:rPr>
    </w:lvl>
    <w:lvl w:ilvl="8" w:tplc="AFCCCF2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193B38"/>
    <w:multiLevelType w:val="hybridMultilevel"/>
    <w:tmpl w:val="F9BE7390"/>
    <w:lvl w:ilvl="0" w:tplc="0408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0" w15:restartNumberingAfterBreak="0">
    <w:nsid w:val="22815E60"/>
    <w:multiLevelType w:val="hybridMultilevel"/>
    <w:tmpl w:val="DC94C526"/>
    <w:lvl w:ilvl="0" w:tplc="9E86EF02">
      <w:numFmt w:val="bullet"/>
      <w:lvlText w:val=""/>
      <w:lvlJc w:val="left"/>
      <w:pPr>
        <w:ind w:left="720" w:hanging="360"/>
      </w:pPr>
      <w:rPr>
        <w:rFonts w:ascii="Wingdings" w:eastAsiaTheme="minorHAnsi" w:hAnsi="Wingdings"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3D90661"/>
    <w:multiLevelType w:val="multilevel"/>
    <w:tmpl w:val="D4B81BCC"/>
    <w:lvl w:ilvl="0">
      <w:start w:val="1"/>
      <w:numFmt w:val="bullet"/>
      <w:lvlText w:val=""/>
      <w:lvlJc w:val="left"/>
      <w:pPr>
        <w:tabs>
          <w:tab w:val="num" w:pos="372"/>
        </w:tabs>
        <w:ind w:left="372" w:hanging="360"/>
      </w:pPr>
      <w:rPr>
        <w:rFonts w:ascii="Symbol" w:hAnsi="Symbol" w:hint="default"/>
        <w:sz w:val="20"/>
      </w:rPr>
    </w:lvl>
    <w:lvl w:ilvl="1" w:tentative="1">
      <w:start w:val="1"/>
      <w:numFmt w:val="bullet"/>
      <w:lvlText w:val="o"/>
      <w:lvlJc w:val="left"/>
      <w:pPr>
        <w:tabs>
          <w:tab w:val="num" w:pos="1092"/>
        </w:tabs>
        <w:ind w:left="1092" w:hanging="360"/>
      </w:pPr>
      <w:rPr>
        <w:rFonts w:ascii="Courier New" w:hAnsi="Courier New" w:hint="default"/>
        <w:sz w:val="20"/>
      </w:rPr>
    </w:lvl>
    <w:lvl w:ilvl="2" w:tentative="1">
      <w:start w:val="1"/>
      <w:numFmt w:val="bullet"/>
      <w:lvlText w:val=""/>
      <w:lvlJc w:val="left"/>
      <w:pPr>
        <w:tabs>
          <w:tab w:val="num" w:pos="1812"/>
        </w:tabs>
        <w:ind w:left="1812" w:hanging="360"/>
      </w:pPr>
      <w:rPr>
        <w:rFonts w:ascii="Wingdings" w:hAnsi="Wingdings" w:hint="default"/>
        <w:sz w:val="20"/>
      </w:rPr>
    </w:lvl>
    <w:lvl w:ilvl="3" w:tentative="1">
      <w:start w:val="1"/>
      <w:numFmt w:val="bullet"/>
      <w:lvlText w:val=""/>
      <w:lvlJc w:val="left"/>
      <w:pPr>
        <w:tabs>
          <w:tab w:val="num" w:pos="2532"/>
        </w:tabs>
        <w:ind w:left="2532" w:hanging="360"/>
      </w:pPr>
      <w:rPr>
        <w:rFonts w:ascii="Wingdings" w:hAnsi="Wingdings" w:hint="default"/>
        <w:sz w:val="20"/>
      </w:rPr>
    </w:lvl>
    <w:lvl w:ilvl="4" w:tentative="1">
      <w:start w:val="1"/>
      <w:numFmt w:val="bullet"/>
      <w:lvlText w:val=""/>
      <w:lvlJc w:val="left"/>
      <w:pPr>
        <w:tabs>
          <w:tab w:val="num" w:pos="3252"/>
        </w:tabs>
        <w:ind w:left="3252" w:hanging="360"/>
      </w:pPr>
      <w:rPr>
        <w:rFonts w:ascii="Wingdings" w:hAnsi="Wingdings" w:hint="default"/>
        <w:sz w:val="20"/>
      </w:rPr>
    </w:lvl>
    <w:lvl w:ilvl="5" w:tentative="1">
      <w:start w:val="1"/>
      <w:numFmt w:val="bullet"/>
      <w:lvlText w:val=""/>
      <w:lvlJc w:val="left"/>
      <w:pPr>
        <w:tabs>
          <w:tab w:val="num" w:pos="3972"/>
        </w:tabs>
        <w:ind w:left="3972" w:hanging="360"/>
      </w:pPr>
      <w:rPr>
        <w:rFonts w:ascii="Wingdings" w:hAnsi="Wingdings" w:hint="default"/>
        <w:sz w:val="20"/>
      </w:rPr>
    </w:lvl>
    <w:lvl w:ilvl="6" w:tentative="1">
      <w:start w:val="1"/>
      <w:numFmt w:val="bullet"/>
      <w:lvlText w:val=""/>
      <w:lvlJc w:val="left"/>
      <w:pPr>
        <w:tabs>
          <w:tab w:val="num" w:pos="4692"/>
        </w:tabs>
        <w:ind w:left="4692" w:hanging="360"/>
      </w:pPr>
      <w:rPr>
        <w:rFonts w:ascii="Wingdings" w:hAnsi="Wingdings" w:hint="default"/>
        <w:sz w:val="20"/>
      </w:rPr>
    </w:lvl>
    <w:lvl w:ilvl="7" w:tentative="1">
      <w:start w:val="1"/>
      <w:numFmt w:val="bullet"/>
      <w:lvlText w:val=""/>
      <w:lvlJc w:val="left"/>
      <w:pPr>
        <w:tabs>
          <w:tab w:val="num" w:pos="5412"/>
        </w:tabs>
        <w:ind w:left="5412" w:hanging="360"/>
      </w:pPr>
      <w:rPr>
        <w:rFonts w:ascii="Wingdings" w:hAnsi="Wingdings" w:hint="default"/>
        <w:sz w:val="20"/>
      </w:rPr>
    </w:lvl>
    <w:lvl w:ilvl="8" w:tentative="1">
      <w:start w:val="1"/>
      <w:numFmt w:val="bullet"/>
      <w:lvlText w:val=""/>
      <w:lvlJc w:val="left"/>
      <w:pPr>
        <w:tabs>
          <w:tab w:val="num" w:pos="6132"/>
        </w:tabs>
        <w:ind w:left="6132" w:hanging="360"/>
      </w:pPr>
      <w:rPr>
        <w:rFonts w:ascii="Wingdings" w:hAnsi="Wingdings" w:hint="default"/>
        <w:sz w:val="20"/>
      </w:rPr>
    </w:lvl>
  </w:abstractNum>
  <w:abstractNum w:abstractNumId="12" w15:restartNumberingAfterBreak="0">
    <w:nsid w:val="50FA50AB"/>
    <w:multiLevelType w:val="hybridMultilevel"/>
    <w:tmpl w:val="7A708C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47E2E28"/>
    <w:multiLevelType w:val="hybridMultilevel"/>
    <w:tmpl w:val="085858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D45756A"/>
    <w:multiLevelType w:val="hybridMultilevel"/>
    <w:tmpl w:val="5D1EB3A2"/>
    <w:lvl w:ilvl="0" w:tplc="CB68E564">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4230" w:hanging="360"/>
      </w:pPr>
      <w:rPr>
        <w:rFonts w:ascii="Courier New" w:hAnsi="Courier New" w:cs="Courier New" w:hint="default"/>
      </w:rPr>
    </w:lvl>
    <w:lvl w:ilvl="2" w:tplc="04080005" w:tentative="1">
      <w:start w:val="1"/>
      <w:numFmt w:val="bullet"/>
      <w:lvlText w:val=""/>
      <w:lvlJc w:val="left"/>
      <w:pPr>
        <w:ind w:left="-3510" w:hanging="360"/>
      </w:pPr>
      <w:rPr>
        <w:rFonts w:ascii="Wingdings" w:hAnsi="Wingdings" w:hint="default"/>
      </w:rPr>
    </w:lvl>
    <w:lvl w:ilvl="3" w:tplc="04080001" w:tentative="1">
      <w:start w:val="1"/>
      <w:numFmt w:val="bullet"/>
      <w:lvlText w:val=""/>
      <w:lvlJc w:val="left"/>
      <w:pPr>
        <w:ind w:left="-2790" w:hanging="360"/>
      </w:pPr>
      <w:rPr>
        <w:rFonts w:ascii="Symbol" w:hAnsi="Symbol" w:hint="default"/>
      </w:rPr>
    </w:lvl>
    <w:lvl w:ilvl="4" w:tplc="04080003" w:tentative="1">
      <w:start w:val="1"/>
      <w:numFmt w:val="bullet"/>
      <w:lvlText w:val="o"/>
      <w:lvlJc w:val="left"/>
      <w:pPr>
        <w:ind w:left="-2070" w:hanging="360"/>
      </w:pPr>
      <w:rPr>
        <w:rFonts w:ascii="Courier New" w:hAnsi="Courier New" w:cs="Courier New" w:hint="default"/>
      </w:rPr>
    </w:lvl>
    <w:lvl w:ilvl="5" w:tplc="04080005" w:tentative="1">
      <w:start w:val="1"/>
      <w:numFmt w:val="bullet"/>
      <w:lvlText w:val=""/>
      <w:lvlJc w:val="left"/>
      <w:pPr>
        <w:ind w:left="-1350" w:hanging="360"/>
      </w:pPr>
      <w:rPr>
        <w:rFonts w:ascii="Wingdings" w:hAnsi="Wingdings" w:hint="default"/>
      </w:rPr>
    </w:lvl>
    <w:lvl w:ilvl="6" w:tplc="04080001" w:tentative="1">
      <w:start w:val="1"/>
      <w:numFmt w:val="bullet"/>
      <w:lvlText w:val=""/>
      <w:lvlJc w:val="left"/>
      <w:pPr>
        <w:ind w:left="-630" w:hanging="360"/>
      </w:pPr>
      <w:rPr>
        <w:rFonts w:ascii="Symbol" w:hAnsi="Symbol" w:hint="default"/>
      </w:rPr>
    </w:lvl>
    <w:lvl w:ilvl="7" w:tplc="04080003" w:tentative="1">
      <w:start w:val="1"/>
      <w:numFmt w:val="bullet"/>
      <w:lvlText w:val="o"/>
      <w:lvlJc w:val="left"/>
      <w:pPr>
        <w:ind w:left="90" w:hanging="360"/>
      </w:pPr>
      <w:rPr>
        <w:rFonts w:ascii="Courier New" w:hAnsi="Courier New" w:cs="Courier New" w:hint="default"/>
      </w:rPr>
    </w:lvl>
    <w:lvl w:ilvl="8" w:tplc="04080005" w:tentative="1">
      <w:start w:val="1"/>
      <w:numFmt w:val="bullet"/>
      <w:lvlText w:val=""/>
      <w:lvlJc w:val="left"/>
      <w:pPr>
        <w:ind w:left="810" w:hanging="360"/>
      </w:pPr>
      <w:rPr>
        <w:rFonts w:ascii="Wingdings" w:hAnsi="Wingdings" w:hint="default"/>
      </w:rPr>
    </w:lvl>
  </w:abstractNum>
  <w:abstractNum w:abstractNumId="15" w15:restartNumberingAfterBreak="0">
    <w:nsid w:val="62E66E28"/>
    <w:multiLevelType w:val="hybridMultilevel"/>
    <w:tmpl w:val="E458AD94"/>
    <w:lvl w:ilvl="0" w:tplc="C82CC4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43C97"/>
    <w:multiLevelType w:val="hybridMultilevel"/>
    <w:tmpl w:val="3956214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B292AE7"/>
    <w:multiLevelType w:val="hybridMultilevel"/>
    <w:tmpl w:val="41409D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4"/>
  </w:num>
  <w:num w:numId="3">
    <w:abstractNumId w:val="14"/>
  </w:num>
  <w:num w:numId="4">
    <w:abstractNumId w:val="8"/>
  </w:num>
  <w:num w:numId="5">
    <w:abstractNumId w:val="6"/>
  </w:num>
  <w:num w:numId="6">
    <w:abstractNumId w:val="17"/>
  </w:num>
  <w:num w:numId="7">
    <w:abstractNumId w:val="5"/>
  </w:num>
  <w:num w:numId="8">
    <w:abstractNumId w:val="0"/>
  </w:num>
  <w:num w:numId="9">
    <w:abstractNumId w:val="7"/>
  </w:num>
  <w:num w:numId="10">
    <w:abstractNumId w:val="3"/>
  </w:num>
  <w:num w:numId="11">
    <w:abstractNumId w:val="15"/>
  </w:num>
  <w:num w:numId="12">
    <w:abstractNumId w:val="11"/>
  </w:num>
  <w:num w:numId="13">
    <w:abstractNumId w:val="16"/>
  </w:num>
  <w:num w:numId="14">
    <w:abstractNumId w:val="1"/>
  </w:num>
  <w:num w:numId="15">
    <w:abstractNumId w:val="13"/>
  </w:num>
  <w:num w:numId="16">
    <w:abstractNumId w:val="12"/>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0BE"/>
    <w:rsid w:val="000013DB"/>
    <w:rsid w:val="00001463"/>
    <w:rsid w:val="000018BC"/>
    <w:rsid w:val="00001E5E"/>
    <w:rsid w:val="000025E9"/>
    <w:rsid w:val="00002B50"/>
    <w:rsid w:val="00002D18"/>
    <w:rsid w:val="000031B8"/>
    <w:rsid w:val="0000344A"/>
    <w:rsid w:val="00003CC4"/>
    <w:rsid w:val="0000478F"/>
    <w:rsid w:val="00004B0A"/>
    <w:rsid w:val="000056D1"/>
    <w:rsid w:val="000057C4"/>
    <w:rsid w:val="0000658D"/>
    <w:rsid w:val="000069F0"/>
    <w:rsid w:val="00006FEA"/>
    <w:rsid w:val="0000737D"/>
    <w:rsid w:val="000073EC"/>
    <w:rsid w:val="000074E9"/>
    <w:rsid w:val="00007614"/>
    <w:rsid w:val="000077AF"/>
    <w:rsid w:val="00007C70"/>
    <w:rsid w:val="0001084D"/>
    <w:rsid w:val="000108D8"/>
    <w:rsid w:val="00010CB7"/>
    <w:rsid w:val="00010DA3"/>
    <w:rsid w:val="00011212"/>
    <w:rsid w:val="000113F4"/>
    <w:rsid w:val="000118B3"/>
    <w:rsid w:val="00011D71"/>
    <w:rsid w:val="00012D6D"/>
    <w:rsid w:val="00013062"/>
    <w:rsid w:val="000133A1"/>
    <w:rsid w:val="0001342B"/>
    <w:rsid w:val="00013471"/>
    <w:rsid w:val="00013593"/>
    <w:rsid w:val="000135F5"/>
    <w:rsid w:val="0001378A"/>
    <w:rsid w:val="00013998"/>
    <w:rsid w:val="00013D4F"/>
    <w:rsid w:val="000143E7"/>
    <w:rsid w:val="00015064"/>
    <w:rsid w:val="0001669D"/>
    <w:rsid w:val="00016759"/>
    <w:rsid w:val="00016E8E"/>
    <w:rsid w:val="00017175"/>
    <w:rsid w:val="00017313"/>
    <w:rsid w:val="00017568"/>
    <w:rsid w:val="00017B32"/>
    <w:rsid w:val="0002094C"/>
    <w:rsid w:val="00021B67"/>
    <w:rsid w:val="0002203F"/>
    <w:rsid w:val="000220AE"/>
    <w:rsid w:val="0002274A"/>
    <w:rsid w:val="00022FA2"/>
    <w:rsid w:val="00022FC4"/>
    <w:rsid w:val="00024422"/>
    <w:rsid w:val="00024551"/>
    <w:rsid w:val="0002582F"/>
    <w:rsid w:val="00025DEC"/>
    <w:rsid w:val="0002667F"/>
    <w:rsid w:val="000268AB"/>
    <w:rsid w:val="00026DBA"/>
    <w:rsid w:val="00026ECD"/>
    <w:rsid w:val="00027443"/>
    <w:rsid w:val="0002754B"/>
    <w:rsid w:val="0003146F"/>
    <w:rsid w:val="00031829"/>
    <w:rsid w:val="000319AF"/>
    <w:rsid w:val="00031C63"/>
    <w:rsid w:val="00032103"/>
    <w:rsid w:val="000322A7"/>
    <w:rsid w:val="000337AD"/>
    <w:rsid w:val="00033AD1"/>
    <w:rsid w:val="00033E4D"/>
    <w:rsid w:val="000348E1"/>
    <w:rsid w:val="00034A2F"/>
    <w:rsid w:val="00034BF0"/>
    <w:rsid w:val="00035A93"/>
    <w:rsid w:val="00035DF4"/>
    <w:rsid w:val="00035E2E"/>
    <w:rsid w:val="00035ED6"/>
    <w:rsid w:val="00036590"/>
    <w:rsid w:val="00037936"/>
    <w:rsid w:val="00040150"/>
    <w:rsid w:val="00040177"/>
    <w:rsid w:val="000408A0"/>
    <w:rsid w:val="00040A9C"/>
    <w:rsid w:val="000419A2"/>
    <w:rsid w:val="00041CD6"/>
    <w:rsid w:val="000420B9"/>
    <w:rsid w:val="000423CD"/>
    <w:rsid w:val="000426F9"/>
    <w:rsid w:val="0004297C"/>
    <w:rsid w:val="0004302D"/>
    <w:rsid w:val="000436B4"/>
    <w:rsid w:val="00043857"/>
    <w:rsid w:val="00044325"/>
    <w:rsid w:val="00044428"/>
    <w:rsid w:val="00044D94"/>
    <w:rsid w:val="00045298"/>
    <w:rsid w:val="00045B0B"/>
    <w:rsid w:val="000468F6"/>
    <w:rsid w:val="0004716F"/>
    <w:rsid w:val="000474D4"/>
    <w:rsid w:val="00050693"/>
    <w:rsid w:val="00050694"/>
    <w:rsid w:val="00050868"/>
    <w:rsid w:val="000508E6"/>
    <w:rsid w:val="00050AA8"/>
    <w:rsid w:val="00050AE3"/>
    <w:rsid w:val="00051106"/>
    <w:rsid w:val="0005145C"/>
    <w:rsid w:val="00051485"/>
    <w:rsid w:val="000534BB"/>
    <w:rsid w:val="000539AC"/>
    <w:rsid w:val="00054441"/>
    <w:rsid w:val="00054DC0"/>
    <w:rsid w:val="00055140"/>
    <w:rsid w:val="00055518"/>
    <w:rsid w:val="000559A2"/>
    <w:rsid w:val="00055AD1"/>
    <w:rsid w:val="00055C88"/>
    <w:rsid w:val="00055F88"/>
    <w:rsid w:val="000561D7"/>
    <w:rsid w:val="0005634C"/>
    <w:rsid w:val="000569B6"/>
    <w:rsid w:val="000570A2"/>
    <w:rsid w:val="0005779C"/>
    <w:rsid w:val="00057B09"/>
    <w:rsid w:val="00060271"/>
    <w:rsid w:val="00060690"/>
    <w:rsid w:val="0006261E"/>
    <w:rsid w:val="00063759"/>
    <w:rsid w:val="00063841"/>
    <w:rsid w:val="000638D9"/>
    <w:rsid w:val="00063C55"/>
    <w:rsid w:val="00063EFC"/>
    <w:rsid w:val="0006402D"/>
    <w:rsid w:val="00064956"/>
    <w:rsid w:val="000652BF"/>
    <w:rsid w:val="00065351"/>
    <w:rsid w:val="0006544F"/>
    <w:rsid w:val="00065873"/>
    <w:rsid w:val="00065EBB"/>
    <w:rsid w:val="00066358"/>
    <w:rsid w:val="0006665F"/>
    <w:rsid w:val="00067082"/>
    <w:rsid w:val="0006714A"/>
    <w:rsid w:val="000671EB"/>
    <w:rsid w:val="0006722A"/>
    <w:rsid w:val="00067C36"/>
    <w:rsid w:val="00070326"/>
    <w:rsid w:val="00070635"/>
    <w:rsid w:val="00072120"/>
    <w:rsid w:val="000725BE"/>
    <w:rsid w:val="000729A0"/>
    <w:rsid w:val="00073897"/>
    <w:rsid w:val="00073B5F"/>
    <w:rsid w:val="00073CF0"/>
    <w:rsid w:val="000742C9"/>
    <w:rsid w:val="0007526B"/>
    <w:rsid w:val="000753EE"/>
    <w:rsid w:val="00075EDB"/>
    <w:rsid w:val="00076804"/>
    <w:rsid w:val="00076CE5"/>
    <w:rsid w:val="00081A15"/>
    <w:rsid w:val="00081CB4"/>
    <w:rsid w:val="00081F33"/>
    <w:rsid w:val="00083D7E"/>
    <w:rsid w:val="00084536"/>
    <w:rsid w:val="00084EE0"/>
    <w:rsid w:val="00084F96"/>
    <w:rsid w:val="00085470"/>
    <w:rsid w:val="00085B76"/>
    <w:rsid w:val="00085EA9"/>
    <w:rsid w:val="0008621C"/>
    <w:rsid w:val="00086752"/>
    <w:rsid w:val="0008698B"/>
    <w:rsid w:val="00087DA6"/>
    <w:rsid w:val="00087FC4"/>
    <w:rsid w:val="00090B00"/>
    <w:rsid w:val="00090C18"/>
    <w:rsid w:val="00091014"/>
    <w:rsid w:val="00091571"/>
    <w:rsid w:val="00091DDA"/>
    <w:rsid w:val="00091EAE"/>
    <w:rsid w:val="0009228B"/>
    <w:rsid w:val="0009294A"/>
    <w:rsid w:val="00092998"/>
    <w:rsid w:val="00092C42"/>
    <w:rsid w:val="00093193"/>
    <w:rsid w:val="00095056"/>
    <w:rsid w:val="00095838"/>
    <w:rsid w:val="00095C30"/>
    <w:rsid w:val="00095D2D"/>
    <w:rsid w:val="00095FCB"/>
    <w:rsid w:val="0009624B"/>
    <w:rsid w:val="00096713"/>
    <w:rsid w:val="000A0032"/>
    <w:rsid w:val="000A0468"/>
    <w:rsid w:val="000A04F5"/>
    <w:rsid w:val="000A0899"/>
    <w:rsid w:val="000A08A6"/>
    <w:rsid w:val="000A0991"/>
    <w:rsid w:val="000A13D2"/>
    <w:rsid w:val="000A18BC"/>
    <w:rsid w:val="000A282E"/>
    <w:rsid w:val="000A2885"/>
    <w:rsid w:val="000A2933"/>
    <w:rsid w:val="000A2A5C"/>
    <w:rsid w:val="000A30E7"/>
    <w:rsid w:val="000A4D42"/>
    <w:rsid w:val="000A5036"/>
    <w:rsid w:val="000A5255"/>
    <w:rsid w:val="000A5A1F"/>
    <w:rsid w:val="000A6431"/>
    <w:rsid w:val="000A6C19"/>
    <w:rsid w:val="000A74ED"/>
    <w:rsid w:val="000B05D1"/>
    <w:rsid w:val="000B0648"/>
    <w:rsid w:val="000B08CB"/>
    <w:rsid w:val="000B0DFA"/>
    <w:rsid w:val="000B1C13"/>
    <w:rsid w:val="000B1E66"/>
    <w:rsid w:val="000B260D"/>
    <w:rsid w:val="000B296A"/>
    <w:rsid w:val="000B2A3B"/>
    <w:rsid w:val="000B2F3E"/>
    <w:rsid w:val="000B2F82"/>
    <w:rsid w:val="000B336F"/>
    <w:rsid w:val="000B35BF"/>
    <w:rsid w:val="000B374B"/>
    <w:rsid w:val="000B3D46"/>
    <w:rsid w:val="000B47F9"/>
    <w:rsid w:val="000B4FC2"/>
    <w:rsid w:val="000B5D13"/>
    <w:rsid w:val="000B5FD3"/>
    <w:rsid w:val="000B6000"/>
    <w:rsid w:val="000B64D5"/>
    <w:rsid w:val="000B6772"/>
    <w:rsid w:val="000B67C5"/>
    <w:rsid w:val="000B77E0"/>
    <w:rsid w:val="000B7994"/>
    <w:rsid w:val="000C0603"/>
    <w:rsid w:val="000C0E27"/>
    <w:rsid w:val="000C11AE"/>
    <w:rsid w:val="000C11E4"/>
    <w:rsid w:val="000C11F8"/>
    <w:rsid w:val="000C1A3F"/>
    <w:rsid w:val="000C24E1"/>
    <w:rsid w:val="000C2764"/>
    <w:rsid w:val="000C2A32"/>
    <w:rsid w:val="000C3871"/>
    <w:rsid w:val="000C41AE"/>
    <w:rsid w:val="000C436C"/>
    <w:rsid w:val="000C4D3C"/>
    <w:rsid w:val="000C542B"/>
    <w:rsid w:val="000C62AD"/>
    <w:rsid w:val="000C7210"/>
    <w:rsid w:val="000C7C9E"/>
    <w:rsid w:val="000C7D9A"/>
    <w:rsid w:val="000D005D"/>
    <w:rsid w:val="000D0402"/>
    <w:rsid w:val="000D053D"/>
    <w:rsid w:val="000D0705"/>
    <w:rsid w:val="000D0AB6"/>
    <w:rsid w:val="000D12D8"/>
    <w:rsid w:val="000D142A"/>
    <w:rsid w:val="000D2463"/>
    <w:rsid w:val="000D26B9"/>
    <w:rsid w:val="000D3092"/>
    <w:rsid w:val="000D358B"/>
    <w:rsid w:val="000D3D66"/>
    <w:rsid w:val="000D4172"/>
    <w:rsid w:val="000D41E3"/>
    <w:rsid w:val="000D43A1"/>
    <w:rsid w:val="000D43FC"/>
    <w:rsid w:val="000D5A44"/>
    <w:rsid w:val="000D6446"/>
    <w:rsid w:val="000D67A1"/>
    <w:rsid w:val="000D7348"/>
    <w:rsid w:val="000D7A62"/>
    <w:rsid w:val="000D7BFE"/>
    <w:rsid w:val="000D7D16"/>
    <w:rsid w:val="000E01B9"/>
    <w:rsid w:val="000E027A"/>
    <w:rsid w:val="000E10BE"/>
    <w:rsid w:val="000E1503"/>
    <w:rsid w:val="000E151A"/>
    <w:rsid w:val="000E1AEB"/>
    <w:rsid w:val="000E1B95"/>
    <w:rsid w:val="000E2125"/>
    <w:rsid w:val="000E26A3"/>
    <w:rsid w:val="000E2817"/>
    <w:rsid w:val="000E2981"/>
    <w:rsid w:val="000E35E3"/>
    <w:rsid w:val="000E397C"/>
    <w:rsid w:val="000E41B0"/>
    <w:rsid w:val="000E4439"/>
    <w:rsid w:val="000E4E76"/>
    <w:rsid w:val="000E4FEB"/>
    <w:rsid w:val="000E564F"/>
    <w:rsid w:val="000E64B6"/>
    <w:rsid w:val="000E6654"/>
    <w:rsid w:val="000E6B59"/>
    <w:rsid w:val="000E6DED"/>
    <w:rsid w:val="000E73FC"/>
    <w:rsid w:val="000E75A2"/>
    <w:rsid w:val="000E76FB"/>
    <w:rsid w:val="000E7E79"/>
    <w:rsid w:val="000F076B"/>
    <w:rsid w:val="000F0843"/>
    <w:rsid w:val="000F1280"/>
    <w:rsid w:val="000F28D9"/>
    <w:rsid w:val="000F2A6F"/>
    <w:rsid w:val="000F2E86"/>
    <w:rsid w:val="000F2F2E"/>
    <w:rsid w:val="000F3700"/>
    <w:rsid w:val="000F3FF0"/>
    <w:rsid w:val="000F49BB"/>
    <w:rsid w:val="000F4BE7"/>
    <w:rsid w:val="000F4E79"/>
    <w:rsid w:val="000F54C9"/>
    <w:rsid w:val="000F5624"/>
    <w:rsid w:val="000F5653"/>
    <w:rsid w:val="000F60B4"/>
    <w:rsid w:val="000F613D"/>
    <w:rsid w:val="000F6CB7"/>
    <w:rsid w:val="000F7110"/>
    <w:rsid w:val="000F7182"/>
    <w:rsid w:val="000F7218"/>
    <w:rsid w:val="0010032F"/>
    <w:rsid w:val="0010083B"/>
    <w:rsid w:val="00101D3E"/>
    <w:rsid w:val="00102E20"/>
    <w:rsid w:val="001035BA"/>
    <w:rsid w:val="001036B1"/>
    <w:rsid w:val="001038CC"/>
    <w:rsid w:val="00103C1C"/>
    <w:rsid w:val="00103F15"/>
    <w:rsid w:val="00104B80"/>
    <w:rsid w:val="001065EC"/>
    <w:rsid w:val="00106B4E"/>
    <w:rsid w:val="00107248"/>
    <w:rsid w:val="001076D9"/>
    <w:rsid w:val="00107FE2"/>
    <w:rsid w:val="00110028"/>
    <w:rsid w:val="0011026E"/>
    <w:rsid w:val="0011044D"/>
    <w:rsid w:val="00110683"/>
    <w:rsid w:val="00110DF2"/>
    <w:rsid w:val="001113B0"/>
    <w:rsid w:val="001121B6"/>
    <w:rsid w:val="001127A5"/>
    <w:rsid w:val="0011360C"/>
    <w:rsid w:val="00113900"/>
    <w:rsid w:val="00113920"/>
    <w:rsid w:val="00113D07"/>
    <w:rsid w:val="001142D6"/>
    <w:rsid w:val="0011461A"/>
    <w:rsid w:val="00114813"/>
    <w:rsid w:val="00115B9D"/>
    <w:rsid w:val="00116E35"/>
    <w:rsid w:val="00116F10"/>
    <w:rsid w:val="00117089"/>
    <w:rsid w:val="001170AD"/>
    <w:rsid w:val="00117C20"/>
    <w:rsid w:val="00117CB7"/>
    <w:rsid w:val="00120220"/>
    <w:rsid w:val="00120D20"/>
    <w:rsid w:val="00120FBB"/>
    <w:rsid w:val="00121A6A"/>
    <w:rsid w:val="00122760"/>
    <w:rsid w:val="0012285D"/>
    <w:rsid w:val="00122EAF"/>
    <w:rsid w:val="00122EB3"/>
    <w:rsid w:val="001232D9"/>
    <w:rsid w:val="00123A58"/>
    <w:rsid w:val="00124509"/>
    <w:rsid w:val="00124B84"/>
    <w:rsid w:val="00125569"/>
    <w:rsid w:val="00125A35"/>
    <w:rsid w:val="00125DAE"/>
    <w:rsid w:val="0012605F"/>
    <w:rsid w:val="00126110"/>
    <w:rsid w:val="00126142"/>
    <w:rsid w:val="0012632E"/>
    <w:rsid w:val="00126A6D"/>
    <w:rsid w:val="00126C55"/>
    <w:rsid w:val="00126CAA"/>
    <w:rsid w:val="00127B95"/>
    <w:rsid w:val="001301DA"/>
    <w:rsid w:val="001313AD"/>
    <w:rsid w:val="0013151D"/>
    <w:rsid w:val="00131E8E"/>
    <w:rsid w:val="001325FC"/>
    <w:rsid w:val="001326CB"/>
    <w:rsid w:val="001328B2"/>
    <w:rsid w:val="00132977"/>
    <w:rsid w:val="00133094"/>
    <w:rsid w:val="00134221"/>
    <w:rsid w:val="001354D2"/>
    <w:rsid w:val="0013599F"/>
    <w:rsid w:val="001364F2"/>
    <w:rsid w:val="0013668D"/>
    <w:rsid w:val="00136C83"/>
    <w:rsid w:val="00136EAB"/>
    <w:rsid w:val="00137C76"/>
    <w:rsid w:val="001407F3"/>
    <w:rsid w:val="001407FD"/>
    <w:rsid w:val="0014082E"/>
    <w:rsid w:val="00140A5F"/>
    <w:rsid w:val="00140E8D"/>
    <w:rsid w:val="00141186"/>
    <w:rsid w:val="00141501"/>
    <w:rsid w:val="001417CB"/>
    <w:rsid w:val="001419FB"/>
    <w:rsid w:val="00141BD8"/>
    <w:rsid w:val="00141BEF"/>
    <w:rsid w:val="001420B2"/>
    <w:rsid w:val="001424F1"/>
    <w:rsid w:val="00143442"/>
    <w:rsid w:val="001443E4"/>
    <w:rsid w:val="001447F2"/>
    <w:rsid w:val="00144F71"/>
    <w:rsid w:val="00145CA1"/>
    <w:rsid w:val="001468F4"/>
    <w:rsid w:val="00147324"/>
    <w:rsid w:val="00147A43"/>
    <w:rsid w:val="00147A72"/>
    <w:rsid w:val="001511E7"/>
    <w:rsid w:val="0015151D"/>
    <w:rsid w:val="001516D6"/>
    <w:rsid w:val="001517B9"/>
    <w:rsid w:val="00152212"/>
    <w:rsid w:val="00152825"/>
    <w:rsid w:val="00152919"/>
    <w:rsid w:val="00152CFF"/>
    <w:rsid w:val="001530CE"/>
    <w:rsid w:val="0015348C"/>
    <w:rsid w:val="00153F2D"/>
    <w:rsid w:val="001547D6"/>
    <w:rsid w:val="0015514E"/>
    <w:rsid w:val="0015574E"/>
    <w:rsid w:val="00156398"/>
    <w:rsid w:val="001574F8"/>
    <w:rsid w:val="001577D3"/>
    <w:rsid w:val="00157B4C"/>
    <w:rsid w:val="001602C2"/>
    <w:rsid w:val="00160662"/>
    <w:rsid w:val="0016066F"/>
    <w:rsid w:val="001607F4"/>
    <w:rsid w:val="00161298"/>
    <w:rsid w:val="00161532"/>
    <w:rsid w:val="00161B81"/>
    <w:rsid w:val="001624EF"/>
    <w:rsid w:val="00162DDE"/>
    <w:rsid w:val="00163905"/>
    <w:rsid w:val="00163B6A"/>
    <w:rsid w:val="001641E2"/>
    <w:rsid w:val="00164468"/>
    <w:rsid w:val="001657D8"/>
    <w:rsid w:val="00165CD8"/>
    <w:rsid w:val="00166519"/>
    <w:rsid w:val="0016685E"/>
    <w:rsid w:val="00166FEA"/>
    <w:rsid w:val="0016700B"/>
    <w:rsid w:val="0016769A"/>
    <w:rsid w:val="00167908"/>
    <w:rsid w:val="00167E5D"/>
    <w:rsid w:val="001701E7"/>
    <w:rsid w:val="00170308"/>
    <w:rsid w:val="00170EED"/>
    <w:rsid w:val="001713EF"/>
    <w:rsid w:val="001717DA"/>
    <w:rsid w:val="0017291E"/>
    <w:rsid w:val="00172BB5"/>
    <w:rsid w:val="00173777"/>
    <w:rsid w:val="00173D4F"/>
    <w:rsid w:val="0017580E"/>
    <w:rsid w:val="00176579"/>
    <w:rsid w:val="00176B24"/>
    <w:rsid w:val="00176F65"/>
    <w:rsid w:val="00180063"/>
    <w:rsid w:val="00180271"/>
    <w:rsid w:val="00180426"/>
    <w:rsid w:val="00180563"/>
    <w:rsid w:val="00180DE2"/>
    <w:rsid w:val="001813DB"/>
    <w:rsid w:val="001830FD"/>
    <w:rsid w:val="00183643"/>
    <w:rsid w:val="001838D5"/>
    <w:rsid w:val="00184408"/>
    <w:rsid w:val="001844B6"/>
    <w:rsid w:val="00184DD7"/>
    <w:rsid w:val="00185210"/>
    <w:rsid w:val="00186259"/>
    <w:rsid w:val="0018720F"/>
    <w:rsid w:val="0018749C"/>
    <w:rsid w:val="001878DB"/>
    <w:rsid w:val="00187AF9"/>
    <w:rsid w:val="00187B5D"/>
    <w:rsid w:val="00187EE1"/>
    <w:rsid w:val="00190389"/>
    <w:rsid w:val="00190BB1"/>
    <w:rsid w:val="00191F16"/>
    <w:rsid w:val="00192257"/>
    <w:rsid w:val="00192A92"/>
    <w:rsid w:val="00192AAB"/>
    <w:rsid w:val="00192B4F"/>
    <w:rsid w:val="00192DFC"/>
    <w:rsid w:val="00192DFD"/>
    <w:rsid w:val="00193220"/>
    <w:rsid w:val="001932EF"/>
    <w:rsid w:val="001933C5"/>
    <w:rsid w:val="00193F17"/>
    <w:rsid w:val="001940A3"/>
    <w:rsid w:val="00194B02"/>
    <w:rsid w:val="001959B1"/>
    <w:rsid w:val="001974E7"/>
    <w:rsid w:val="00197741"/>
    <w:rsid w:val="00197C74"/>
    <w:rsid w:val="00197E0E"/>
    <w:rsid w:val="001A0983"/>
    <w:rsid w:val="001A0A3B"/>
    <w:rsid w:val="001A1F82"/>
    <w:rsid w:val="001A25A9"/>
    <w:rsid w:val="001A2788"/>
    <w:rsid w:val="001A2F4A"/>
    <w:rsid w:val="001A31CD"/>
    <w:rsid w:val="001A3499"/>
    <w:rsid w:val="001A34B1"/>
    <w:rsid w:val="001A3589"/>
    <w:rsid w:val="001A3C8F"/>
    <w:rsid w:val="001A3E12"/>
    <w:rsid w:val="001A4921"/>
    <w:rsid w:val="001A515D"/>
    <w:rsid w:val="001A54F1"/>
    <w:rsid w:val="001A5708"/>
    <w:rsid w:val="001A6D59"/>
    <w:rsid w:val="001A7BCC"/>
    <w:rsid w:val="001A7D0F"/>
    <w:rsid w:val="001B0876"/>
    <w:rsid w:val="001B0EB8"/>
    <w:rsid w:val="001B0ECE"/>
    <w:rsid w:val="001B0F7A"/>
    <w:rsid w:val="001B129E"/>
    <w:rsid w:val="001B1572"/>
    <w:rsid w:val="001B1CF6"/>
    <w:rsid w:val="001B23E9"/>
    <w:rsid w:val="001B24AD"/>
    <w:rsid w:val="001B27AB"/>
    <w:rsid w:val="001B2E56"/>
    <w:rsid w:val="001B2EC6"/>
    <w:rsid w:val="001B31C9"/>
    <w:rsid w:val="001B3258"/>
    <w:rsid w:val="001B32FA"/>
    <w:rsid w:val="001B4125"/>
    <w:rsid w:val="001B45B2"/>
    <w:rsid w:val="001B46F0"/>
    <w:rsid w:val="001B4B5B"/>
    <w:rsid w:val="001B6D0B"/>
    <w:rsid w:val="001B75DF"/>
    <w:rsid w:val="001B781B"/>
    <w:rsid w:val="001B79BB"/>
    <w:rsid w:val="001B7B1A"/>
    <w:rsid w:val="001B7BA9"/>
    <w:rsid w:val="001C0429"/>
    <w:rsid w:val="001C052D"/>
    <w:rsid w:val="001C0701"/>
    <w:rsid w:val="001C0D4A"/>
    <w:rsid w:val="001C17A4"/>
    <w:rsid w:val="001C17C5"/>
    <w:rsid w:val="001C2179"/>
    <w:rsid w:val="001C23AF"/>
    <w:rsid w:val="001C3371"/>
    <w:rsid w:val="001C4046"/>
    <w:rsid w:val="001C51DF"/>
    <w:rsid w:val="001C5320"/>
    <w:rsid w:val="001C5526"/>
    <w:rsid w:val="001C5A15"/>
    <w:rsid w:val="001C5C5E"/>
    <w:rsid w:val="001C694D"/>
    <w:rsid w:val="001C6F91"/>
    <w:rsid w:val="001C7755"/>
    <w:rsid w:val="001D014F"/>
    <w:rsid w:val="001D0777"/>
    <w:rsid w:val="001D0DAC"/>
    <w:rsid w:val="001D0DB3"/>
    <w:rsid w:val="001D1DCB"/>
    <w:rsid w:val="001D1F64"/>
    <w:rsid w:val="001D2004"/>
    <w:rsid w:val="001D2DA4"/>
    <w:rsid w:val="001D3CAA"/>
    <w:rsid w:val="001D3FE1"/>
    <w:rsid w:val="001D4548"/>
    <w:rsid w:val="001D4DE5"/>
    <w:rsid w:val="001D5013"/>
    <w:rsid w:val="001D50E3"/>
    <w:rsid w:val="001D5A4D"/>
    <w:rsid w:val="001D692E"/>
    <w:rsid w:val="001D6AF1"/>
    <w:rsid w:val="001D7B6E"/>
    <w:rsid w:val="001D7BC4"/>
    <w:rsid w:val="001E03E0"/>
    <w:rsid w:val="001E04A7"/>
    <w:rsid w:val="001E09E0"/>
    <w:rsid w:val="001E0E78"/>
    <w:rsid w:val="001E0F33"/>
    <w:rsid w:val="001E13D4"/>
    <w:rsid w:val="001E2263"/>
    <w:rsid w:val="001E2B4B"/>
    <w:rsid w:val="001E3785"/>
    <w:rsid w:val="001E49CB"/>
    <w:rsid w:val="001E5118"/>
    <w:rsid w:val="001E602B"/>
    <w:rsid w:val="001E6272"/>
    <w:rsid w:val="001E6488"/>
    <w:rsid w:val="001F007F"/>
    <w:rsid w:val="001F050E"/>
    <w:rsid w:val="001F08EC"/>
    <w:rsid w:val="001F1215"/>
    <w:rsid w:val="001F1ACE"/>
    <w:rsid w:val="001F21E4"/>
    <w:rsid w:val="001F230A"/>
    <w:rsid w:val="001F2570"/>
    <w:rsid w:val="001F3086"/>
    <w:rsid w:val="001F3253"/>
    <w:rsid w:val="001F3700"/>
    <w:rsid w:val="001F3EE3"/>
    <w:rsid w:val="001F4062"/>
    <w:rsid w:val="001F4BDF"/>
    <w:rsid w:val="001F4E56"/>
    <w:rsid w:val="001F523B"/>
    <w:rsid w:val="001F5F5A"/>
    <w:rsid w:val="001F6C8A"/>
    <w:rsid w:val="001F6E9C"/>
    <w:rsid w:val="001F7A59"/>
    <w:rsid w:val="001F7C40"/>
    <w:rsid w:val="001F7EEE"/>
    <w:rsid w:val="002000EB"/>
    <w:rsid w:val="0020067A"/>
    <w:rsid w:val="00200F20"/>
    <w:rsid w:val="00202E2F"/>
    <w:rsid w:val="002031F8"/>
    <w:rsid w:val="00203D33"/>
    <w:rsid w:val="002045C0"/>
    <w:rsid w:val="00204B2B"/>
    <w:rsid w:val="00205501"/>
    <w:rsid w:val="0020615E"/>
    <w:rsid w:val="002079E4"/>
    <w:rsid w:val="0021014C"/>
    <w:rsid w:val="00210B0D"/>
    <w:rsid w:val="002124DF"/>
    <w:rsid w:val="002125EB"/>
    <w:rsid w:val="002137B8"/>
    <w:rsid w:val="002138B9"/>
    <w:rsid w:val="002146F3"/>
    <w:rsid w:val="00214DCC"/>
    <w:rsid w:val="00214EFB"/>
    <w:rsid w:val="00215583"/>
    <w:rsid w:val="00215663"/>
    <w:rsid w:val="00216F4A"/>
    <w:rsid w:val="00217474"/>
    <w:rsid w:val="002175B7"/>
    <w:rsid w:val="00217A10"/>
    <w:rsid w:val="00220492"/>
    <w:rsid w:val="0022089F"/>
    <w:rsid w:val="00221701"/>
    <w:rsid w:val="002217B2"/>
    <w:rsid w:val="0022213B"/>
    <w:rsid w:val="0022243B"/>
    <w:rsid w:val="00222937"/>
    <w:rsid w:val="002236A9"/>
    <w:rsid w:val="00223C7C"/>
    <w:rsid w:val="0022736B"/>
    <w:rsid w:val="00227CA4"/>
    <w:rsid w:val="002305CA"/>
    <w:rsid w:val="002312F8"/>
    <w:rsid w:val="00231AF3"/>
    <w:rsid w:val="00231EE7"/>
    <w:rsid w:val="00232B83"/>
    <w:rsid w:val="00233A97"/>
    <w:rsid w:val="00234826"/>
    <w:rsid w:val="00234D2E"/>
    <w:rsid w:val="002352BD"/>
    <w:rsid w:val="0023554D"/>
    <w:rsid w:val="002356B0"/>
    <w:rsid w:val="00235F11"/>
    <w:rsid w:val="00236998"/>
    <w:rsid w:val="00236AC7"/>
    <w:rsid w:val="00236FAE"/>
    <w:rsid w:val="0024029B"/>
    <w:rsid w:val="002405DA"/>
    <w:rsid w:val="00240B59"/>
    <w:rsid w:val="00240E94"/>
    <w:rsid w:val="0024106C"/>
    <w:rsid w:val="002411E4"/>
    <w:rsid w:val="00241233"/>
    <w:rsid w:val="00241554"/>
    <w:rsid w:val="002416BB"/>
    <w:rsid w:val="00241FD9"/>
    <w:rsid w:val="00242595"/>
    <w:rsid w:val="00242F03"/>
    <w:rsid w:val="00242F54"/>
    <w:rsid w:val="0024329E"/>
    <w:rsid w:val="00244273"/>
    <w:rsid w:val="00245420"/>
    <w:rsid w:val="00245426"/>
    <w:rsid w:val="00245AB3"/>
    <w:rsid w:val="00246084"/>
    <w:rsid w:val="002467E1"/>
    <w:rsid w:val="00246CA1"/>
    <w:rsid w:val="00246EFF"/>
    <w:rsid w:val="0024747C"/>
    <w:rsid w:val="00247DDF"/>
    <w:rsid w:val="0025037B"/>
    <w:rsid w:val="00250564"/>
    <w:rsid w:val="002509B8"/>
    <w:rsid w:val="00250D20"/>
    <w:rsid w:val="00251E58"/>
    <w:rsid w:val="0025212A"/>
    <w:rsid w:val="002521CA"/>
    <w:rsid w:val="0025244D"/>
    <w:rsid w:val="00253795"/>
    <w:rsid w:val="00253C44"/>
    <w:rsid w:val="00254705"/>
    <w:rsid w:val="00254F09"/>
    <w:rsid w:val="002554EA"/>
    <w:rsid w:val="00256A29"/>
    <w:rsid w:val="00256E4B"/>
    <w:rsid w:val="0025708E"/>
    <w:rsid w:val="00257221"/>
    <w:rsid w:val="002573E9"/>
    <w:rsid w:val="0025794B"/>
    <w:rsid w:val="00257AE6"/>
    <w:rsid w:val="00257FF9"/>
    <w:rsid w:val="0026085A"/>
    <w:rsid w:val="0026108C"/>
    <w:rsid w:val="00261673"/>
    <w:rsid w:val="0026269F"/>
    <w:rsid w:val="00263419"/>
    <w:rsid w:val="0026345F"/>
    <w:rsid w:val="00263C5C"/>
    <w:rsid w:val="00263D45"/>
    <w:rsid w:val="00263F3B"/>
    <w:rsid w:val="00264FFD"/>
    <w:rsid w:val="0026535F"/>
    <w:rsid w:val="00265F28"/>
    <w:rsid w:val="002660BC"/>
    <w:rsid w:val="00266C1B"/>
    <w:rsid w:val="00266CB1"/>
    <w:rsid w:val="00266DB4"/>
    <w:rsid w:val="00267266"/>
    <w:rsid w:val="00267812"/>
    <w:rsid w:val="002702E2"/>
    <w:rsid w:val="00270902"/>
    <w:rsid w:val="00270ADA"/>
    <w:rsid w:val="00270BD6"/>
    <w:rsid w:val="00270EBA"/>
    <w:rsid w:val="0027173A"/>
    <w:rsid w:val="002723B5"/>
    <w:rsid w:val="00272C9A"/>
    <w:rsid w:val="0027306D"/>
    <w:rsid w:val="002736A8"/>
    <w:rsid w:val="00273F86"/>
    <w:rsid w:val="00274F07"/>
    <w:rsid w:val="002752E7"/>
    <w:rsid w:val="00277D54"/>
    <w:rsid w:val="002801AA"/>
    <w:rsid w:val="00280B43"/>
    <w:rsid w:val="00281AAA"/>
    <w:rsid w:val="00282A47"/>
    <w:rsid w:val="00282A9C"/>
    <w:rsid w:val="0028355E"/>
    <w:rsid w:val="00284387"/>
    <w:rsid w:val="0028485A"/>
    <w:rsid w:val="00285C46"/>
    <w:rsid w:val="0028603F"/>
    <w:rsid w:val="00286197"/>
    <w:rsid w:val="002862CC"/>
    <w:rsid w:val="002868CC"/>
    <w:rsid w:val="00287156"/>
    <w:rsid w:val="002879A3"/>
    <w:rsid w:val="00287A62"/>
    <w:rsid w:val="00287D12"/>
    <w:rsid w:val="00290BE0"/>
    <w:rsid w:val="00290C12"/>
    <w:rsid w:val="002911C8"/>
    <w:rsid w:val="00291301"/>
    <w:rsid w:val="002913FF"/>
    <w:rsid w:val="002920DF"/>
    <w:rsid w:val="00292615"/>
    <w:rsid w:val="002934F8"/>
    <w:rsid w:val="002936A6"/>
    <w:rsid w:val="00293E7F"/>
    <w:rsid w:val="0029411E"/>
    <w:rsid w:val="0029432B"/>
    <w:rsid w:val="0029435D"/>
    <w:rsid w:val="0029439F"/>
    <w:rsid w:val="00295628"/>
    <w:rsid w:val="00295B6E"/>
    <w:rsid w:val="002963BC"/>
    <w:rsid w:val="0029653C"/>
    <w:rsid w:val="002967CA"/>
    <w:rsid w:val="00296AEE"/>
    <w:rsid w:val="00297371"/>
    <w:rsid w:val="00297B4B"/>
    <w:rsid w:val="002A03DF"/>
    <w:rsid w:val="002A0470"/>
    <w:rsid w:val="002A058D"/>
    <w:rsid w:val="002A066F"/>
    <w:rsid w:val="002A072B"/>
    <w:rsid w:val="002A18D3"/>
    <w:rsid w:val="002A21C8"/>
    <w:rsid w:val="002A2620"/>
    <w:rsid w:val="002A270E"/>
    <w:rsid w:val="002A274A"/>
    <w:rsid w:val="002A2BAC"/>
    <w:rsid w:val="002A2FCF"/>
    <w:rsid w:val="002A3073"/>
    <w:rsid w:val="002A326B"/>
    <w:rsid w:val="002A3271"/>
    <w:rsid w:val="002A38CE"/>
    <w:rsid w:val="002A395B"/>
    <w:rsid w:val="002A3A86"/>
    <w:rsid w:val="002A3F8D"/>
    <w:rsid w:val="002A40B4"/>
    <w:rsid w:val="002A4441"/>
    <w:rsid w:val="002A450B"/>
    <w:rsid w:val="002A46E8"/>
    <w:rsid w:val="002A4913"/>
    <w:rsid w:val="002A4A74"/>
    <w:rsid w:val="002A55B7"/>
    <w:rsid w:val="002A5F3F"/>
    <w:rsid w:val="002A61B1"/>
    <w:rsid w:val="002A61BD"/>
    <w:rsid w:val="002A6407"/>
    <w:rsid w:val="002A649F"/>
    <w:rsid w:val="002A6B5E"/>
    <w:rsid w:val="002A7F1B"/>
    <w:rsid w:val="002B02F5"/>
    <w:rsid w:val="002B0AA0"/>
    <w:rsid w:val="002B0AAB"/>
    <w:rsid w:val="002B144B"/>
    <w:rsid w:val="002B16DB"/>
    <w:rsid w:val="002B1BE4"/>
    <w:rsid w:val="002B2010"/>
    <w:rsid w:val="002B239B"/>
    <w:rsid w:val="002B2705"/>
    <w:rsid w:val="002B2838"/>
    <w:rsid w:val="002B3E8C"/>
    <w:rsid w:val="002B52BA"/>
    <w:rsid w:val="002B55A3"/>
    <w:rsid w:val="002B6E0F"/>
    <w:rsid w:val="002B6FC3"/>
    <w:rsid w:val="002B7EB2"/>
    <w:rsid w:val="002C005A"/>
    <w:rsid w:val="002C0E04"/>
    <w:rsid w:val="002C1202"/>
    <w:rsid w:val="002C1655"/>
    <w:rsid w:val="002C17BB"/>
    <w:rsid w:val="002C3ABD"/>
    <w:rsid w:val="002C3FFD"/>
    <w:rsid w:val="002C5C9B"/>
    <w:rsid w:val="002C5E35"/>
    <w:rsid w:val="002C5FB5"/>
    <w:rsid w:val="002C6896"/>
    <w:rsid w:val="002C6B6B"/>
    <w:rsid w:val="002C6BF0"/>
    <w:rsid w:val="002C7025"/>
    <w:rsid w:val="002C7580"/>
    <w:rsid w:val="002C7F9C"/>
    <w:rsid w:val="002D00B4"/>
    <w:rsid w:val="002D0421"/>
    <w:rsid w:val="002D048C"/>
    <w:rsid w:val="002D09AA"/>
    <w:rsid w:val="002D0A28"/>
    <w:rsid w:val="002D25AC"/>
    <w:rsid w:val="002D34DA"/>
    <w:rsid w:val="002D3580"/>
    <w:rsid w:val="002D3D2A"/>
    <w:rsid w:val="002D41A7"/>
    <w:rsid w:val="002D4203"/>
    <w:rsid w:val="002D52C3"/>
    <w:rsid w:val="002D56B7"/>
    <w:rsid w:val="002D5829"/>
    <w:rsid w:val="002D5AE3"/>
    <w:rsid w:val="002D5FF9"/>
    <w:rsid w:val="002D66BC"/>
    <w:rsid w:val="002D6B38"/>
    <w:rsid w:val="002D7414"/>
    <w:rsid w:val="002E0A92"/>
    <w:rsid w:val="002E0E40"/>
    <w:rsid w:val="002E1FD5"/>
    <w:rsid w:val="002E23D9"/>
    <w:rsid w:val="002E2996"/>
    <w:rsid w:val="002E2A3F"/>
    <w:rsid w:val="002E2B69"/>
    <w:rsid w:val="002E3787"/>
    <w:rsid w:val="002E39BB"/>
    <w:rsid w:val="002E3CCE"/>
    <w:rsid w:val="002E69CB"/>
    <w:rsid w:val="002E6FF7"/>
    <w:rsid w:val="002E7131"/>
    <w:rsid w:val="002E764E"/>
    <w:rsid w:val="002E7A7B"/>
    <w:rsid w:val="002F0C8A"/>
    <w:rsid w:val="002F1217"/>
    <w:rsid w:val="002F14ED"/>
    <w:rsid w:val="002F17FD"/>
    <w:rsid w:val="002F1995"/>
    <w:rsid w:val="002F1BDE"/>
    <w:rsid w:val="002F1CDB"/>
    <w:rsid w:val="002F215D"/>
    <w:rsid w:val="002F24F7"/>
    <w:rsid w:val="002F2958"/>
    <w:rsid w:val="002F3552"/>
    <w:rsid w:val="002F39FA"/>
    <w:rsid w:val="002F40F8"/>
    <w:rsid w:val="002F4462"/>
    <w:rsid w:val="002F4472"/>
    <w:rsid w:val="002F5045"/>
    <w:rsid w:val="002F5098"/>
    <w:rsid w:val="002F54C8"/>
    <w:rsid w:val="002F65E0"/>
    <w:rsid w:val="002F79BC"/>
    <w:rsid w:val="00300718"/>
    <w:rsid w:val="0030091C"/>
    <w:rsid w:val="00301136"/>
    <w:rsid w:val="00301D30"/>
    <w:rsid w:val="003020A5"/>
    <w:rsid w:val="003020F2"/>
    <w:rsid w:val="003020FE"/>
    <w:rsid w:val="00302488"/>
    <w:rsid w:val="00302545"/>
    <w:rsid w:val="003025AF"/>
    <w:rsid w:val="0030398C"/>
    <w:rsid w:val="00303C56"/>
    <w:rsid w:val="0030408E"/>
    <w:rsid w:val="00304535"/>
    <w:rsid w:val="00304B6F"/>
    <w:rsid w:val="0030598B"/>
    <w:rsid w:val="003061D6"/>
    <w:rsid w:val="00306D44"/>
    <w:rsid w:val="00306DE2"/>
    <w:rsid w:val="003070FD"/>
    <w:rsid w:val="003105BD"/>
    <w:rsid w:val="003108E5"/>
    <w:rsid w:val="00310942"/>
    <w:rsid w:val="003109EF"/>
    <w:rsid w:val="00310C38"/>
    <w:rsid w:val="00311391"/>
    <w:rsid w:val="003113ED"/>
    <w:rsid w:val="00311B78"/>
    <w:rsid w:val="00311EE6"/>
    <w:rsid w:val="003123DF"/>
    <w:rsid w:val="003126C5"/>
    <w:rsid w:val="00312792"/>
    <w:rsid w:val="00313937"/>
    <w:rsid w:val="00314FF8"/>
    <w:rsid w:val="00315552"/>
    <w:rsid w:val="00315F25"/>
    <w:rsid w:val="003160CE"/>
    <w:rsid w:val="003167FD"/>
    <w:rsid w:val="003174E7"/>
    <w:rsid w:val="00317877"/>
    <w:rsid w:val="00317A3C"/>
    <w:rsid w:val="00320EA7"/>
    <w:rsid w:val="00321062"/>
    <w:rsid w:val="00321199"/>
    <w:rsid w:val="00324586"/>
    <w:rsid w:val="00324E55"/>
    <w:rsid w:val="003254A8"/>
    <w:rsid w:val="0032552F"/>
    <w:rsid w:val="00325A0B"/>
    <w:rsid w:val="00325DFD"/>
    <w:rsid w:val="00326302"/>
    <w:rsid w:val="0032631D"/>
    <w:rsid w:val="00326B97"/>
    <w:rsid w:val="0032745B"/>
    <w:rsid w:val="00327BE1"/>
    <w:rsid w:val="00327C59"/>
    <w:rsid w:val="00327E22"/>
    <w:rsid w:val="00330412"/>
    <w:rsid w:val="00330B05"/>
    <w:rsid w:val="00330C13"/>
    <w:rsid w:val="003310BC"/>
    <w:rsid w:val="003315C7"/>
    <w:rsid w:val="003316E6"/>
    <w:rsid w:val="00331703"/>
    <w:rsid w:val="003319B7"/>
    <w:rsid w:val="00331BA4"/>
    <w:rsid w:val="0033244F"/>
    <w:rsid w:val="00332558"/>
    <w:rsid w:val="00332A91"/>
    <w:rsid w:val="00333219"/>
    <w:rsid w:val="003332ED"/>
    <w:rsid w:val="003336B3"/>
    <w:rsid w:val="00333C98"/>
    <w:rsid w:val="0033444E"/>
    <w:rsid w:val="00334C15"/>
    <w:rsid w:val="00334ECE"/>
    <w:rsid w:val="0033511D"/>
    <w:rsid w:val="0033543B"/>
    <w:rsid w:val="00335B9A"/>
    <w:rsid w:val="00336A30"/>
    <w:rsid w:val="0033749B"/>
    <w:rsid w:val="003402D3"/>
    <w:rsid w:val="003403A0"/>
    <w:rsid w:val="00340D56"/>
    <w:rsid w:val="00340D80"/>
    <w:rsid w:val="00341141"/>
    <w:rsid w:val="003413E4"/>
    <w:rsid w:val="0034170E"/>
    <w:rsid w:val="00341979"/>
    <w:rsid w:val="00341E00"/>
    <w:rsid w:val="00342114"/>
    <w:rsid w:val="003426C4"/>
    <w:rsid w:val="00343455"/>
    <w:rsid w:val="00343977"/>
    <w:rsid w:val="00343E34"/>
    <w:rsid w:val="003451D4"/>
    <w:rsid w:val="00345777"/>
    <w:rsid w:val="003463F9"/>
    <w:rsid w:val="00347425"/>
    <w:rsid w:val="00347CC7"/>
    <w:rsid w:val="003508C8"/>
    <w:rsid w:val="0035098E"/>
    <w:rsid w:val="003512C1"/>
    <w:rsid w:val="00351617"/>
    <w:rsid w:val="00352741"/>
    <w:rsid w:val="00352983"/>
    <w:rsid w:val="00352BBF"/>
    <w:rsid w:val="003538BE"/>
    <w:rsid w:val="0035458D"/>
    <w:rsid w:val="00354739"/>
    <w:rsid w:val="00354B6F"/>
    <w:rsid w:val="00354C26"/>
    <w:rsid w:val="00354D6B"/>
    <w:rsid w:val="00355270"/>
    <w:rsid w:val="0035550D"/>
    <w:rsid w:val="0035595D"/>
    <w:rsid w:val="00355CAB"/>
    <w:rsid w:val="003561A8"/>
    <w:rsid w:val="003563F6"/>
    <w:rsid w:val="00356CF2"/>
    <w:rsid w:val="00356E51"/>
    <w:rsid w:val="003573DF"/>
    <w:rsid w:val="003575FE"/>
    <w:rsid w:val="003577C9"/>
    <w:rsid w:val="003577E8"/>
    <w:rsid w:val="003578D8"/>
    <w:rsid w:val="0036009F"/>
    <w:rsid w:val="00360270"/>
    <w:rsid w:val="00362D1F"/>
    <w:rsid w:val="003633F0"/>
    <w:rsid w:val="003639E2"/>
    <w:rsid w:val="00363C9C"/>
    <w:rsid w:val="003648FC"/>
    <w:rsid w:val="0036497E"/>
    <w:rsid w:val="00364F8F"/>
    <w:rsid w:val="003657A0"/>
    <w:rsid w:val="00365AB8"/>
    <w:rsid w:val="00365C9B"/>
    <w:rsid w:val="003662FF"/>
    <w:rsid w:val="003671B6"/>
    <w:rsid w:val="00367A38"/>
    <w:rsid w:val="00370297"/>
    <w:rsid w:val="00370722"/>
    <w:rsid w:val="003709AF"/>
    <w:rsid w:val="00370A7A"/>
    <w:rsid w:val="00370EA0"/>
    <w:rsid w:val="00370F54"/>
    <w:rsid w:val="003711DD"/>
    <w:rsid w:val="0037139D"/>
    <w:rsid w:val="00372253"/>
    <w:rsid w:val="0037264E"/>
    <w:rsid w:val="003727A8"/>
    <w:rsid w:val="0037302D"/>
    <w:rsid w:val="00373E88"/>
    <w:rsid w:val="0037466D"/>
    <w:rsid w:val="00374F9B"/>
    <w:rsid w:val="00375032"/>
    <w:rsid w:val="003753A2"/>
    <w:rsid w:val="00375960"/>
    <w:rsid w:val="00375DC7"/>
    <w:rsid w:val="0037690A"/>
    <w:rsid w:val="00376A5B"/>
    <w:rsid w:val="00377020"/>
    <w:rsid w:val="003775E8"/>
    <w:rsid w:val="00380524"/>
    <w:rsid w:val="003809B1"/>
    <w:rsid w:val="00381103"/>
    <w:rsid w:val="00381291"/>
    <w:rsid w:val="003812C2"/>
    <w:rsid w:val="0038146D"/>
    <w:rsid w:val="0038221F"/>
    <w:rsid w:val="0038243B"/>
    <w:rsid w:val="00382F8A"/>
    <w:rsid w:val="0038307E"/>
    <w:rsid w:val="0038346B"/>
    <w:rsid w:val="00384C2D"/>
    <w:rsid w:val="003855BF"/>
    <w:rsid w:val="00387084"/>
    <w:rsid w:val="0038753A"/>
    <w:rsid w:val="00390032"/>
    <w:rsid w:val="00390095"/>
    <w:rsid w:val="0039019F"/>
    <w:rsid w:val="0039066B"/>
    <w:rsid w:val="00390FE4"/>
    <w:rsid w:val="0039123E"/>
    <w:rsid w:val="00391267"/>
    <w:rsid w:val="00392ACE"/>
    <w:rsid w:val="00393191"/>
    <w:rsid w:val="003936E7"/>
    <w:rsid w:val="003954AE"/>
    <w:rsid w:val="0039569C"/>
    <w:rsid w:val="003965CB"/>
    <w:rsid w:val="00396BBD"/>
    <w:rsid w:val="00397026"/>
    <w:rsid w:val="00397C67"/>
    <w:rsid w:val="003A014F"/>
    <w:rsid w:val="003A0618"/>
    <w:rsid w:val="003A09DA"/>
    <w:rsid w:val="003A0AB8"/>
    <w:rsid w:val="003A0E85"/>
    <w:rsid w:val="003A1049"/>
    <w:rsid w:val="003A19E2"/>
    <w:rsid w:val="003A2B77"/>
    <w:rsid w:val="003A42C1"/>
    <w:rsid w:val="003A44B9"/>
    <w:rsid w:val="003A4676"/>
    <w:rsid w:val="003A46A9"/>
    <w:rsid w:val="003A47C3"/>
    <w:rsid w:val="003A4869"/>
    <w:rsid w:val="003A59DA"/>
    <w:rsid w:val="003A5A2C"/>
    <w:rsid w:val="003A5A3E"/>
    <w:rsid w:val="003A5C3F"/>
    <w:rsid w:val="003A5F72"/>
    <w:rsid w:val="003A5FB7"/>
    <w:rsid w:val="003A6959"/>
    <w:rsid w:val="003A7675"/>
    <w:rsid w:val="003A7E41"/>
    <w:rsid w:val="003A7E4D"/>
    <w:rsid w:val="003B0B55"/>
    <w:rsid w:val="003B1056"/>
    <w:rsid w:val="003B13EF"/>
    <w:rsid w:val="003B1DCD"/>
    <w:rsid w:val="003B41BB"/>
    <w:rsid w:val="003B57A1"/>
    <w:rsid w:val="003B5F66"/>
    <w:rsid w:val="003B7225"/>
    <w:rsid w:val="003C03AC"/>
    <w:rsid w:val="003C076D"/>
    <w:rsid w:val="003C0F6E"/>
    <w:rsid w:val="003C1261"/>
    <w:rsid w:val="003C2B2C"/>
    <w:rsid w:val="003C3130"/>
    <w:rsid w:val="003C320D"/>
    <w:rsid w:val="003C4FAA"/>
    <w:rsid w:val="003C6625"/>
    <w:rsid w:val="003C67D2"/>
    <w:rsid w:val="003C6B9A"/>
    <w:rsid w:val="003C6BBF"/>
    <w:rsid w:val="003C6F6A"/>
    <w:rsid w:val="003C7103"/>
    <w:rsid w:val="003C7919"/>
    <w:rsid w:val="003C7AD2"/>
    <w:rsid w:val="003C7C98"/>
    <w:rsid w:val="003D088D"/>
    <w:rsid w:val="003D24F8"/>
    <w:rsid w:val="003D31E6"/>
    <w:rsid w:val="003D3228"/>
    <w:rsid w:val="003D3CD2"/>
    <w:rsid w:val="003D3F41"/>
    <w:rsid w:val="003D47DB"/>
    <w:rsid w:val="003D5A13"/>
    <w:rsid w:val="003D5B59"/>
    <w:rsid w:val="003D5D7C"/>
    <w:rsid w:val="003D6596"/>
    <w:rsid w:val="003D7A77"/>
    <w:rsid w:val="003D7DDD"/>
    <w:rsid w:val="003E0167"/>
    <w:rsid w:val="003E0977"/>
    <w:rsid w:val="003E14D0"/>
    <w:rsid w:val="003E1D77"/>
    <w:rsid w:val="003E3156"/>
    <w:rsid w:val="003E3284"/>
    <w:rsid w:val="003E3C32"/>
    <w:rsid w:val="003E408E"/>
    <w:rsid w:val="003E4D0C"/>
    <w:rsid w:val="003E4E3D"/>
    <w:rsid w:val="003E5499"/>
    <w:rsid w:val="003E5B66"/>
    <w:rsid w:val="003E69DC"/>
    <w:rsid w:val="003E73CD"/>
    <w:rsid w:val="003F055C"/>
    <w:rsid w:val="003F0C02"/>
    <w:rsid w:val="003F0DDD"/>
    <w:rsid w:val="003F123C"/>
    <w:rsid w:val="003F1279"/>
    <w:rsid w:val="003F14D5"/>
    <w:rsid w:val="003F3CCC"/>
    <w:rsid w:val="003F3D85"/>
    <w:rsid w:val="003F4AE7"/>
    <w:rsid w:val="003F4C1A"/>
    <w:rsid w:val="003F4E12"/>
    <w:rsid w:val="003F4F32"/>
    <w:rsid w:val="003F5045"/>
    <w:rsid w:val="003F6066"/>
    <w:rsid w:val="003F7286"/>
    <w:rsid w:val="003F7AA8"/>
    <w:rsid w:val="004001B8"/>
    <w:rsid w:val="00400E7E"/>
    <w:rsid w:val="004018CE"/>
    <w:rsid w:val="00401F3D"/>
    <w:rsid w:val="004027D4"/>
    <w:rsid w:val="00402A34"/>
    <w:rsid w:val="00402B59"/>
    <w:rsid w:val="004034DE"/>
    <w:rsid w:val="00403CFF"/>
    <w:rsid w:val="00404351"/>
    <w:rsid w:val="00404A9A"/>
    <w:rsid w:val="004051DB"/>
    <w:rsid w:val="004052E7"/>
    <w:rsid w:val="004053D9"/>
    <w:rsid w:val="0040546B"/>
    <w:rsid w:val="00406ACE"/>
    <w:rsid w:val="0040728B"/>
    <w:rsid w:val="004072A5"/>
    <w:rsid w:val="0040760C"/>
    <w:rsid w:val="00407A48"/>
    <w:rsid w:val="004107E7"/>
    <w:rsid w:val="00410B52"/>
    <w:rsid w:val="00410C76"/>
    <w:rsid w:val="00410E26"/>
    <w:rsid w:val="00410FF8"/>
    <w:rsid w:val="0041122A"/>
    <w:rsid w:val="004113A6"/>
    <w:rsid w:val="00411F7D"/>
    <w:rsid w:val="004123BE"/>
    <w:rsid w:val="00412A39"/>
    <w:rsid w:val="00412AB6"/>
    <w:rsid w:val="004131AC"/>
    <w:rsid w:val="00413828"/>
    <w:rsid w:val="00413EEF"/>
    <w:rsid w:val="00413F79"/>
    <w:rsid w:val="004148C0"/>
    <w:rsid w:val="00414AE3"/>
    <w:rsid w:val="00416706"/>
    <w:rsid w:val="0041671C"/>
    <w:rsid w:val="00416A04"/>
    <w:rsid w:val="00416B9B"/>
    <w:rsid w:val="00416BC3"/>
    <w:rsid w:val="0041707D"/>
    <w:rsid w:val="00417DD9"/>
    <w:rsid w:val="00417FAD"/>
    <w:rsid w:val="00421216"/>
    <w:rsid w:val="004239CA"/>
    <w:rsid w:val="0042460F"/>
    <w:rsid w:val="00425112"/>
    <w:rsid w:val="004255BE"/>
    <w:rsid w:val="004258C2"/>
    <w:rsid w:val="00425D0D"/>
    <w:rsid w:val="00425E29"/>
    <w:rsid w:val="00425E75"/>
    <w:rsid w:val="00427174"/>
    <w:rsid w:val="00427C2F"/>
    <w:rsid w:val="00430765"/>
    <w:rsid w:val="00430F92"/>
    <w:rsid w:val="00431129"/>
    <w:rsid w:val="00431E6B"/>
    <w:rsid w:val="004324CD"/>
    <w:rsid w:val="00432568"/>
    <w:rsid w:val="0043364A"/>
    <w:rsid w:val="004342F1"/>
    <w:rsid w:val="004343DA"/>
    <w:rsid w:val="00434D72"/>
    <w:rsid w:val="00434EA3"/>
    <w:rsid w:val="00435373"/>
    <w:rsid w:val="004365A9"/>
    <w:rsid w:val="00436A3A"/>
    <w:rsid w:val="0043722C"/>
    <w:rsid w:val="00437993"/>
    <w:rsid w:val="00437A8C"/>
    <w:rsid w:val="00437C2E"/>
    <w:rsid w:val="00437FDE"/>
    <w:rsid w:val="004408C3"/>
    <w:rsid w:val="0044090B"/>
    <w:rsid w:val="00440C97"/>
    <w:rsid w:val="00440E44"/>
    <w:rsid w:val="00441013"/>
    <w:rsid w:val="00441016"/>
    <w:rsid w:val="00441206"/>
    <w:rsid w:val="004412AA"/>
    <w:rsid w:val="004413CD"/>
    <w:rsid w:val="00442DD4"/>
    <w:rsid w:val="0044322F"/>
    <w:rsid w:val="00443606"/>
    <w:rsid w:val="0044404F"/>
    <w:rsid w:val="00444C50"/>
    <w:rsid w:val="00444E4B"/>
    <w:rsid w:val="00445355"/>
    <w:rsid w:val="004454D3"/>
    <w:rsid w:val="00445582"/>
    <w:rsid w:val="00445744"/>
    <w:rsid w:val="00445B26"/>
    <w:rsid w:val="004464BE"/>
    <w:rsid w:val="004476EA"/>
    <w:rsid w:val="0044780A"/>
    <w:rsid w:val="00447A67"/>
    <w:rsid w:val="00447B24"/>
    <w:rsid w:val="00447EF2"/>
    <w:rsid w:val="0045213B"/>
    <w:rsid w:val="00452354"/>
    <w:rsid w:val="00452382"/>
    <w:rsid w:val="00452A51"/>
    <w:rsid w:val="00452B4A"/>
    <w:rsid w:val="00452B6D"/>
    <w:rsid w:val="00452CA4"/>
    <w:rsid w:val="0045307E"/>
    <w:rsid w:val="0045315E"/>
    <w:rsid w:val="004536CD"/>
    <w:rsid w:val="0045425D"/>
    <w:rsid w:val="0045461E"/>
    <w:rsid w:val="00454740"/>
    <w:rsid w:val="00454E52"/>
    <w:rsid w:val="00454FD8"/>
    <w:rsid w:val="004560A2"/>
    <w:rsid w:val="00457370"/>
    <w:rsid w:val="00457A94"/>
    <w:rsid w:val="00457FA4"/>
    <w:rsid w:val="00460C52"/>
    <w:rsid w:val="00461E63"/>
    <w:rsid w:val="004622B9"/>
    <w:rsid w:val="00462666"/>
    <w:rsid w:val="00463A71"/>
    <w:rsid w:val="00464D0A"/>
    <w:rsid w:val="00465824"/>
    <w:rsid w:val="004669F7"/>
    <w:rsid w:val="00466CE5"/>
    <w:rsid w:val="00467266"/>
    <w:rsid w:val="00470372"/>
    <w:rsid w:val="0047041C"/>
    <w:rsid w:val="00471087"/>
    <w:rsid w:val="00471C49"/>
    <w:rsid w:val="004726BA"/>
    <w:rsid w:val="0047325E"/>
    <w:rsid w:val="004733C4"/>
    <w:rsid w:val="00473A27"/>
    <w:rsid w:val="004744CC"/>
    <w:rsid w:val="00474C60"/>
    <w:rsid w:val="00474CC1"/>
    <w:rsid w:val="00474ED6"/>
    <w:rsid w:val="00474F1D"/>
    <w:rsid w:val="00475C85"/>
    <w:rsid w:val="004761D1"/>
    <w:rsid w:val="00476DE2"/>
    <w:rsid w:val="00476FE2"/>
    <w:rsid w:val="00477B50"/>
    <w:rsid w:val="004802AF"/>
    <w:rsid w:val="00480834"/>
    <w:rsid w:val="00480C09"/>
    <w:rsid w:val="00480D69"/>
    <w:rsid w:val="00481091"/>
    <w:rsid w:val="00481BC5"/>
    <w:rsid w:val="00482407"/>
    <w:rsid w:val="0048240F"/>
    <w:rsid w:val="004840EC"/>
    <w:rsid w:val="00484F7B"/>
    <w:rsid w:val="0048538E"/>
    <w:rsid w:val="00485C32"/>
    <w:rsid w:val="00485FCF"/>
    <w:rsid w:val="00486760"/>
    <w:rsid w:val="00486A4F"/>
    <w:rsid w:val="00487783"/>
    <w:rsid w:val="00487F8B"/>
    <w:rsid w:val="0049024D"/>
    <w:rsid w:val="004903E8"/>
    <w:rsid w:val="00491360"/>
    <w:rsid w:val="00491391"/>
    <w:rsid w:val="00491983"/>
    <w:rsid w:val="00491FE1"/>
    <w:rsid w:val="0049493E"/>
    <w:rsid w:val="00494F3B"/>
    <w:rsid w:val="00495540"/>
    <w:rsid w:val="00495B35"/>
    <w:rsid w:val="004971A3"/>
    <w:rsid w:val="00497541"/>
    <w:rsid w:val="00497AE5"/>
    <w:rsid w:val="00497F47"/>
    <w:rsid w:val="004A07CC"/>
    <w:rsid w:val="004A09F2"/>
    <w:rsid w:val="004A0F4E"/>
    <w:rsid w:val="004A3159"/>
    <w:rsid w:val="004A32FA"/>
    <w:rsid w:val="004A39DC"/>
    <w:rsid w:val="004A424A"/>
    <w:rsid w:val="004A46D2"/>
    <w:rsid w:val="004A49CD"/>
    <w:rsid w:val="004A4CDD"/>
    <w:rsid w:val="004A564A"/>
    <w:rsid w:val="004A5AEE"/>
    <w:rsid w:val="004A6354"/>
    <w:rsid w:val="004A6483"/>
    <w:rsid w:val="004A6561"/>
    <w:rsid w:val="004A6B86"/>
    <w:rsid w:val="004A6BA7"/>
    <w:rsid w:val="004A7405"/>
    <w:rsid w:val="004A793D"/>
    <w:rsid w:val="004A7A45"/>
    <w:rsid w:val="004A7DBA"/>
    <w:rsid w:val="004A7E09"/>
    <w:rsid w:val="004B0ADD"/>
    <w:rsid w:val="004B0C4E"/>
    <w:rsid w:val="004B11D7"/>
    <w:rsid w:val="004B1B05"/>
    <w:rsid w:val="004B1BAE"/>
    <w:rsid w:val="004B1D10"/>
    <w:rsid w:val="004B2AEF"/>
    <w:rsid w:val="004B2B1A"/>
    <w:rsid w:val="004B393C"/>
    <w:rsid w:val="004B39AD"/>
    <w:rsid w:val="004B3A53"/>
    <w:rsid w:val="004B3AD2"/>
    <w:rsid w:val="004B493B"/>
    <w:rsid w:val="004B4B62"/>
    <w:rsid w:val="004B5093"/>
    <w:rsid w:val="004B55B3"/>
    <w:rsid w:val="004B55F7"/>
    <w:rsid w:val="004B5B50"/>
    <w:rsid w:val="004B6A33"/>
    <w:rsid w:val="004B7266"/>
    <w:rsid w:val="004B7288"/>
    <w:rsid w:val="004C00F6"/>
    <w:rsid w:val="004C0248"/>
    <w:rsid w:val="004C0D37"/>
    <w:rsid w:val="004C1954"/>
    <w:rsid w:val="004C196C"/>
    <w:rsid w:val="004C20A2"/>
    <w:rsid w:val="004C25D4"/>
    <w:rsid w:val="004C333F"/>
    <w:rsid w:val="004C3530"/>
    <w:rsid w:val="004C3660"/>
    <w:rsid w:val="004C3A90"/>
    <w:rsid w:val="004C3FD5"/>
    <w:rsid w:val="004C4F29"/>
    <w:rsid w:val="004C4F51"/>
    <w:rsid w:val="004C6A20"/>
    <w:rsid w:val="004C6AC1"/>
    <w:rsid w:val="004C6B92"/>
    <w:rsid w:val="004C6FF1"/>
    <w:rsid w:val="004C7053"/>
    <w:rsid w:val="004C7274"/>
    <w:rsid w:val="004C78D9"/>
    <w:rsid w:val="004C7973"/>
    <w:rsid w:val="004C7BF9"/>
    <w:rsid w:val="004D09BD"/>
    <w:rsid w:val="004D0AB2"/>
    <w:rsid w:val="004D1171"/>
    <w:rsid w:val="004D18F5"/>
    <w:rsid w:val="004D1D92"/>
    <w:rsid w:val="004D236E"/>
    <w:rsid w:val="004D23E7"/>
    <w:rsid w:val="004D2413"/>
    <w:rsid w:val="004D3CD0"/>
    <w:rsid w:val="004D416B"/>
    <w:rsid w:val="004D5160"/>
    <w:rsid w:val="004D51D0"/>
    <w:rsid w:val="004D5AB7"/>
    <w:rsid w:val="004D5C0F"/>
    <w:rsid w:val="004D5E3B"/>
    <w:rsid w:val="004D606C"/>
    <w:rsid w:val="004D6A72"/>
    <w:rsid w:val="004D6A74"/>
    <w:rsid w:val="004D6B9A"/>
    <w:rsid w:val="004D6FEA"/>
    <w:rsid w:val="004D7377"/>
    <w:rsid w:val="004D74DF"/>
    <w:rsid w:val="004D764B"/>
    <w:rsid w:val="004D76DD"/>
    <w:rsid w:val="004D7D3B"/>
    <w:rsid w:val="004E00EE"/>
    <w:rsid w:val="004E03E1"/>
    <w:rsid w:val="004E09C5"/>
    <w:rsid w:val="004E11FD"/>
    <w:rsid w:val="004E16EE"/>
    <w:rsid w:val="004E1E07"/>
    <w:rsid w:val="004E2668"/>
    <w:rsid w:val="004E2D03"/>
    <w:rsid w:val="004E2DA0"/>
    <w:rsid w:val="004E36D5"/>
    <w:rsid w:val="004E3749"/>
    <w:rsid w:val="004E38A3"/>
    <w:rsid w:val="004E406D"/>
    <w:rsid w:val="004E40F6"/>
    <w:rsid w:val="004E5311"/>
    <w:rsid w:val="004E5C09"/>
    <w:rsid w:val="004E6098"/>
    <w:rsid w:val="004E726F"/>
    <w:rsid w:val="004F1BB0"/>
    <w:rsid w:val="004F1C06"/>
    <w:rsid w:val="004F1C4B"/>
    <w:rsid w:val="004F1D28"/>
    <w:rsid w:val="004F2199"/>
    <w:rsid w:val="004F256D"/>
    <w:rsid w:val="004F26E2"/>
    <w:rsid w:val="004F298E"/>
    <w:rsid w:val="004F2A1C"/>
    <w:rsid w:val="004F2C64"/>
    <w:rsid w:val="004F3806"/>
    <w:rsid w:val="004F398F"/>
    <w:rsid w:val="004F41CC"/>
    <w:rsid w:val="004F4A1D"/>
    <w:rsid w:val="004F7805"/>
    <w:rsid w:val="0050008F"/>
    <w:rsid w:val="00500167"/>
    <w:rsid w:val="00500A94"/>
    <w:rsid w:val="0050100A"/>
    <w:rsid w:val="0050168F"/>
    <w:rsid w:val="005017FA"/>
    <w:rsid w:val="00501A37"/>
    <w:rsid w:val="00503533"/>
    <w:rsid w:val="00503719"/>
    <w:rsid w:val="00503B4E"/>
    <w:rsid w:val="00503E55"/>
    <w:rsid w:val="00503FD3"/>
    <w:rsid w:val="00505943"/>
    <w:rsid w:val="005061DD"/>
    <w:rsid w:val="005062BC"/>
    <w:rsid w:val="00507329"/>
    <w:rsid w:val="005076E9"/>
    <w:rsid w:val="00510BA3"/>
    <w:rsid w:val="00511FA3"/>
    <w:rsid w:val="00512441"/>
    <w:rsid w:val="00512840"/>
    <w:rsid w:val="005131E8"/>
    <w:rsid w:val="005139AE"/>
    <w:rsid w:val="005147D0"/>
    <w:rsid w:val="005149BF"/>
    <w:rsid w:val="00514D4A"/>
    <w:rsid w:val="0051529C"/>
    <w:rsid w:val="005156A4"/>
    <w:rsid w:val="00515715"/>
    <w:rsid w:val="00515762"/>
    <w:rsid w:val="0051682A"/>
    <w:rsid w:val="0051688B"/>
    <w:rsid w:val="00517A98"/>
    <w:rsid w:val="00517B68"/>
    <w:rsid w:val="00517F0A"/>
    <w:rsid w:val="005202CB"/>
    <w:rsid w:val="0052034A"/>
    <w:rsid w:val="005204E3"/>
    <w:rsid w:val="00520843"/>
    <w:rsid w:val="00520DFB"/>
    <w:rsid w:val="00520F36"/>
    <w:rsid w:val="00522276"/>
    <w:rsid w:val="0052240B"/>
    <w:rsid w:val="00522595"/>
    <w:rsid w:val="005226B0"/>
    <w:rsid w:val="00523661"/>
    <w:rsid w:val="0052397F"/>
    <w:rsid w:val="00523DA9"/>
    <w:rsid w:val="00523DD9"/>
    <w:rsid w:val="0052494D"/>
    <w:rsid w:val="00524D8F"/>
    <w:rsid w:val="0052525D"/>
    <w:rsid w:val="005253FE"/>
    <w:rsid w:val="00525DCF"/>
    <w:rsid w:val="005279B8"/>
    <w:rsid w:val="00530525"/>
    <w:rsid w:val="00530E55"/>
    <w:rsid w:val="00531147"/>
    <w:rsid w:val="00531F75"/>
    <w:rsid w:val="0053209F"/>
    <w:rsid w:val="0053237D"/>
    <w:rsid w:val="00532D75"/>
    <w:rsid w:val="00532E1A"/>
    <w:rsid w:val="0053344D"/>
    <w:rsid w:val="005336C9"/>
    <w:rsid w:val="00533D12"/>
    <w:rsid w:val="00534C60"/>
    <w:rsid w:val="00535880"/>
    <w:rsid w:val="005358F2"/>
    <w:rsid w:val="005364C0"/>
    <w:rsid w:val="0053675B"/>
    <w:rsid w:val="005369CD"/>
    <w:rsid w:val="00540019"/>
    <w:rsid w:val="00540160"/>
    <w:rsid w:val="00540BE3"/>
    <w:rsid w:val="00540E9C"/>
    <w:rsid w:val="00541280"/>
    <w:rsid w:val="00542947"/>
    <w:rsid w:val="00542C61"/>
    <w:rsid w:val="005431AC"/>
    <w:rsid w:val="0054485E"/>
    <w:rsid w:val="00544942"/>
    <w:rsid w:val="00544EAB"/>
    <w:rsid w:val="0054503A"/>
    <w:rsid w:val="00545EF7"/>
    <w:rsid w:val="0054663F"/>
    <w:rsid w:val="005470BD"/>
    <w:rsid w:val="00547328"/>
    <w:rsid w:val="00547779"/>
    <w:rsid w:val="00547824"/>
    <w:rsid w:val="00547B65"/>
    <w:rsid w:val="00550C81"/>
    <w:rsid w:val="00550E45"/>
    <w:rsid w:val="00551B14"/>
    <w:rsid w:val="00552415"/>
    <w:rsid w:val="005524A0"/>
    <w:rsid w:val="00553DF4"/>
    <w:rsid w:val="00554439"/>
    <w:rsid w:val="00554ABF"/>
    <w:rsid w:val="00554D26"/>
    <w:rsid w:val="00554DA2"/>
    <w:rsid w:val="0055558F"/>
    <w:rsid w:val="00555882"/>
    <w:rsid w:val="0055598D"/>
    <w:rsid w:val="00555B95"/>
    <w:rsid w:val="00556141"/>
    <w:rsid w:val="00557268"/>
    <w:rsid w:val="005572A8"/>
    <w:rsid w:val="005574D9"/>
    <w:rsid w:val="00557D0B"/>
    <w:rsid w:val="005613D2"/>
    <w:rsid w:val="005620CF"/>
    <w:rsid w:val="005623FE"/>
    <w:rsid w:val="00562AAC"/>
    <w:rsid w:val="00563504"/>
    <w:rsid w:val="00563705"/>
    <w:rsid w:val="0056382A"/>
    <w:rsid w:val="0056396F"/>
    <w:rsid w:val="00563989"/>
    <w:rsid w:val="00563C8D"/>
    <w:rsid w:val="00563EEA"/>
    <w:rsid w:val="00564158"/>
    <w:rsid w:val="005646CE"/>
    <w:rsid w:val="005648BF"/>
    <w:rsid w:val="00564B85"/>
    <w:rsid w:val="0056521B"/>
    <w:rsid w:val="005653EF"/>
    <w:rsid w:val="00566080"/>
    <w:rsid w:val="005660C8"/>
    <w:rsid w:val="00566B2A"/>
    <w:rsid w:val="00570F84"/>
    <w:rsid w:val="00571C8A"/>
    <w:rsid w:val="005726BE"/>
    <w:rsid w:val="005737F1"/>
    <w:rsid w:val="005738F1"/>
    <w:rsid w:val="00574561"/>
    <w:rsid w:val="00575DD1"/>
    <w:rsid w:val="0057696B"/>
    <w:rsid w:val="00576ACC"/>
    <w:rsid w:val="00577D43"/>
    <w:rsid w:val="005802E6"/>
    <w:rsid w:val="00580C34"/>
    <w:rsid w:val="00580FDC"/>
    <w:rsid w:val="005810DE"/>
    <w:rsid w:val="0058138E"/>
    <w:rsid w:val="0058157A"/>
    <w:rsid w:val="00581D6C"/>
    <w:rsid w:val="00581ED0"/>
    <w:rsid w:val="00582184"/>
    <w:rsid w:val="00583829"/>
    <w:rsid w:val="00583885"/>
    <w:rsid w:val="00583CFA"/>
    <w:rsid w:val="005845B0"/>
    <w:rsid w:val="00584E35"/>
    <w:rsid w:val="0058504E"/>
    <w:rsid w:val="005865A6"/>
    <w:rsid w:val="005866B6"/>
    <w:rsid w:val="00586B2E"/>
    <w:rsid w:val="00586D72"/>
    <w:rsid w:val="00587472"/>
    <w:rsid w:val="00587A47"/>
    <w:rsid w:val="00587F47"/>
    <w:rsid w:val="00590B7D"/>
    <w:rsid w:val="00590E16"/>
    <w:rsid w:val="0059121E"/>
    <w:rsid w:val="0059132C"/>
    <w:rsid w:val="005915DB"/>
    <w:rsid w:val="00591A57"/>
    <w:rsid w:val="00591D50"/>
    <w:rsid w:val="00591EEF"/>
    <w:rsid w:val="00592119"/>
    <w:rsid w:val="0059264E"/>
    <w:rsid w:val="0059296A"/>
    <w:rsid w:val="00592B46"/>
    <w:rsid w:val="00592DC0"/>
    <w:rsid w:val="005942B2"/>
    <w:rsid w:val="00594433"/>
    <w:rsid w:val="00594A77"/>
    <w:rsid w:val="00595E68"/>
    <w:rsid w:val="00596A99"/>
    <w:rsid w:val="0059744C"/>
    <w:rsid w:val="00597543"/>
    <w:rsid w:val="00597602"/>
    <w:rsid w:val="005976A9"/>
    <w:rsid w:val="00597D9B"/>
    <w:rsid w:val="005A0DBE"/>
    <w:rsid w:val="005A0F9D"/>
    <w:rsid w:val="005A12C9"/>
    <w:rsid w:val="005A1C26"/>
    <w:rsid w:val="005A1F76"/>
    <w:rsid w:val="005A281C"/>
    <w:rsid w:val="005A34B2"/>
    <w:rsid w:val="005A5518"/>
    <w:rsid w:val="005A58DE"/>
    <w:rsid w:val="005A68AE"/>
    <w:rsid w:val="005A6F97"/>
    <w:rsid w:val="005A774B"/>
    <w:rsid w:val="005A7F93"/>
    <w:rsid w:val="005B0AF2"/>
    <w:rsid w:val="005B0AFE"/>
    <w:rsid w:val="005B1592"/>
    <w:rsid w:val="005B17CB"/>
    <w:rsid w:val="005B20A8"/>
    <w:rsid w:val="005B25FA"/>
    <w:rsid w:val="005B26FA"/>
    <w:rsid w:val="005B283B"/>
    <w:rsid w:val="005B2E77"/>
    <w:rsid w:val="005B343C"/>
    <w:rsid w:val="005B47C4"/>
    <w:rsid w:val="005B61C0"/>
    <w:rsid w:val="005B71BF"/>
    <w:rsid w:val="005C09BA"/>
    <w:rsid w:val="005C0AE8"/>
    <w:rsid w:val="005C0CCE"/>
    <w:rsid w:val="005C1BB8"/>
    <w:rsid w:val="005C1D19"/>
    <w:rsid w:val="005C1D64"/>
    <w:rsid w:val="005C2345"/>
    <w:rsid w:val="005C2FC4"/>
    <w:rsid w:val="005C42CF"/>
    <w:rsid w:val="005C4620"/>
    <w:rsid w:val="005C4C06"/>
    <w:rsid w:val="005C57A1"/>
    <w:rsid w:val="005C69D4"/>
    <w:rsid w:val="005C6CC6"/>
    <w:rsid w:val="005C719E"/>
    <w:rsid w:val="005C7D52"/>
    <w:rsid w:val="005D028C"/>
    <w:rsid w:val="005D0627"/>
    <w:rsid w:val="005D1D01"/>
    <w:rsid w:val="005D33A0"/>
    <w:rsid w:val="005D3B22"/>
    <w:rsid w:val="005D480A"/>
    <w:rsid w:val="005D4DCF"/>
    <w:rsid w:val="005D52D5"/>
    <w:rsid w:val="005D5B5A"/>
    <w:rsid w:val="005D5DDA"/>
    <w:rsid w:val="005D622E"/>
    <w:rsid w:val="005D6A06"/>
    <w:rsid w:val="005D6C22"/>
    <w:rsid w:val="005D7498"/>
    <w:rsid w:val="005D7F7A"/>
    <w:rsid w:val="005E0E10"/>
    <w:rsid w:val="005E10A1"/>
    <w:rsid w:val="005E2907"/>
    <w:rsid w:val="005E37AC"/>
    <w:rsid w:val="005E4458"/>
    <w:rsid w:val="005E516C"/>
    <w:rsid w:val="005E51B2"/>
    <w:rsid w:val="005E534E"/>
    <w:rsid w:val="005E5830"/>
    <w:rsid w:val="005E5BE1"/>
    <w:rsid w:val="005E5BE7"/>
    <w:rsid w:val="005E64F9"/>
    <w:rsid w:val="005F0106"/>
    <w:rsid w:val="005F0D2E"/>
    <w:rsid w:val="005F0F3E"/>
    <w:rsid w:val="005F0FAE"/>
    <w:rsid w:val="005F19CD"/>
    <w:rsid w:val="005F203A"/>
    <w:rsid w:val="005F3323"/>
    <w:rsid w:val="005F37FA"/>
    <w:rsid w:val="005F401C"/>
    <w:rsid w:val="005F4126"/>
    <w:rsid w:val="005F4FF8"/>
    <w:rsid w:val="005F50B7"/>
    <w:rsid w:val="005F5894"/>
    <w:rsid w:val="005F5BAF"/>
    <w:rsid w:val="005F6444"/>
    <w:rsid w:val="005F64D6"/>
    <w:rsid w:val="005F655B"/>
    <w:rsid w:val="005F6600"/>
    <w:rsid w:val="005F693A"/>
    <w:rsid w:val="005F6AB2"/>
    <w:rsid w:val="005F6ADE"/>
    <w:rsid w:val="005F76EA"/>
    <w:rsid w:val="005F7EE8"/>
    <w:rsid w:val="006000F2"/>
    <w:rsid w:val="006001AD"/>
    <w:rsid w:val="0060025B"/>
    <w:rsid w:val="00600985"/>
    <w:rsid w:val="00600FA4"/>
    <w:rsid w:val="0060159F"/>
    <w:rsid w:val="00601619"/>
    <w:rsid w:val="00601937"/>
    <w:rsid w:val="00601BBD"/>
    <w:rsid w:val="00602282"/>
    <w:rsid w:val="00602571"/>
    <w:rsid w:val="00603043"/>
    <w:rsid w:val="00603AB1"/>
    <w:rsid w:val="00603B87"/>
    <w:rsid w:val="006041BE"/>
    <w:rsid w:val="00604468"/>
    <w:rsid w:val="0060559A"/>
    <w:rsid w:val="00605E8C"/>
    <w:rsid w:val="00606330"/>
    <w:rsid w:val="006068F0"/>
    <w:rsid w:val="006073AB"/>
    <w:rsid w:val="00607466"/>
    <w:rsid w:val="006077BF"/>
    <w:rsid w:val="00607808"/>
    <w:rsid w:val="006108CC"/>
    <w:rsid w:val="00610C4E"/>
    <w:rsid w:val="00610C6F"/>
    <w:rsid w:val="00610D9F"/>
    <w:rsid w:val="0061111C"/>
    <w:rsid w:val="00611289"/>
    <w:rsid w:val="0061134B"/>
    <w:rsid w:val="00612374"/>
    <w:rsid w:val="0061299A"/>
    <w:rsid w:val="00613831"/>
    <w:rsid w:val="00614644"/>
    <w:rsid w:val="00614A24"/>
    <w:rsid w:val="00614CC3"/>
    <w:rsid w:val="00615BA0"/>
    <w:rsid w:val="00615EE0"/>
    <w:rsid w:val="006168D6"/>
    <w:rsid w:val="00616CCD"/>
    <w:rsid w:val="00616FA0"/>
    <w:rsid w:val="00617101"/>
    <w:rsid w:val="0062023D"/>
    <w:rsid w:val="006209C5"/>
    <w:rsid w:val="00620A08"/>
    <w:rsid w:val="00620A93"/>
    <w:rsid w:val="00620E52"/>
    <w:rsid w:val="00621AE6"/>
    <w:rsid w:val="00622426"/>
    <w:rsid w:val="00622852"/>
    <w:rsid w:val="00622B7A"/>
    <w:rsid w:val="00622D78"/>
    <w:rsid w:val="00622E0E"/>
    <w:rsid w:val="0062318D"/>
    <w:rsid w:val="006232BE"/>
    <w:rsid w:val="00623641"/>
    <w:rsid w:val="006237D3"/>
    <w:rsid w:val="00623FA8"/>
    <w:rsid w:val="00624923"/>
    <w:rsid w:val="00624D0B"/>
    <w:rsid w:val="00626596"/>
    <w:rsid w:val="006268C3"/>
    <w:rsid w:val="00626A29"/>
    <w:rsid w:val="00627DB1"/>
    <w:rsid w:val="00627EE2"/>
    <w:rsid w:val="00627F1E"/>
    <w:rsid w:val="00627FA3"/>
    <w:rsid w:val="0063008F"/>
    <w:rsid w:val="00630597"/>
    <w:rsid w:val="006307C9"/>
    <w:rsid w:val="00631572"/>
    <w:rsid w:val="00631E9C"/>
    <w:rsid w:val="00631EFB"/>
    <w:rsid w:val="0063200C"/>
    <w:rsid w:val="006322FA"/>
    <w:rsid w:val="00632AF6"/>
    <w:rsid w:val="00633334"/>
    <w:rsid w:val="00633820"/>
    <w:rsid w:val="00633E8A"/>
    <w:rsid w:val="006341EB"/>
    <w:rsid w:val="00634459"/>
    <w:rsid w:val="00635689"/>
    <w:rsid w:val="00635D47"/>
    <w:rsid w:val="00636130"/>
    <w:rsid w:val="00637252"/>
    <w:rsid w:val="00637E3E"/>
    <w:rsid w:val="006400E4"/>
    <w:rsid w:val="006416F8"/>
    <w:rsid w:val="006425C0"/>
    <w:rsid w:val="00642FA9"/>
    <w:rsid w:val="0064364C"/>
    <w:rsid w:val="00643FE3"/>
    <w:rsid w:val="00644262"/>
    <w:rsid w:val="00644944"/>
    <w:rsid w:val="00645210"/>
    <w:rsid w:val="00645440"/>
    <w:rsid w:val="0064557C"/>
    <w:rsid w:val="00645748"/>
    <w:rsid w:val="00645AFB"/>
    <w:rsid w:val="00645B15"/>
    <w:rsid w:val="00646013"/>
    <w:rsid w:val="00646102"/>
    <w:rsid w:val="00646371"/>
    <w:rsid w:val="006464DD"/>
    <w:rsid w:val="0064650D"/>
    <w:rsid w:val="00646572"/>
    <w:rsid w:val="0064672D"/>
    <w:rsid w:val="006477BB"/>
    <w:rsid w:val="006503A1"/>
    <w:rsid w:val="0065089D"/>
    <w:rsid w:val="00651AD0"/>
    <w:rsid w:val="0065239D"/>
    <w:rsid w:val="00653606"/>
    <w:rsid w:val="00653CD6"/>
    <w:rsid w:val="0065467B"/>
    <w:rsid w:val="0065498F"/>
    <w:rsid w:val="00654BF6"/>
    <w:rsid w:val="00654E41"/>
    <w:rsid w:val="00654F44"/>
    <w:rsid w:val="00655C95"/>
    <w:rsid w:val="00655DC5"/>
    <w:rsid w:val="0065638B"/>
    <w:rsid w:val="00656B6D"/>
    <w:rsid w:val="0065757C"/>
    <w:rsid w:val="00657D5E"/>
    <w:rsid w:val="00660EC0"/>
    <w:rsid w:val="00661F40"/>
    <w:rsid w:val="006623B9"/>
    <w:rsid w:val="00662C16"/>
    <w:rsid w:val="006633B3"/>
    <w:rsid w:val="006634C5"/>
    <w:rsid w:val="00663542"/>
    <w:rsid w:val="00663715"/>
    <w:rsid w:val="00663DA7"/>
    <w:rsid w:val="00664458"/>
    <w:rsid w:val="00665106"/>
    <w:rsid w:val="00665E57"/>
    <w:rsid w:val="006664B2"/>
    <w:rsid w:val="00666DC1"/>
    <w:rsid w:val="00666E13"/>
    <w:rsid w:val="00667226"/>
    <w:rsid w:val="0067008F"/>
    <w:rsid w:val="006709F8"/>
    <w:rsid w:val="00670FA2"/>
    <w:rsid w:val="00671445"/>
    <w:rsid w:val="00674193"/>
    <w:rsid w:val="00674B96"/>
    <w:rsid w:val="00675105"/>
    <w:rsid w:val="0067593D"/>
    <w:rsid w:val="00676F0E"/>
    <w:rsid w:val="0067787A"/>
    <w:rsid w:val="006801EC"/>
    <w:rsid w:val="006810E6"/>
    <w:rsid w:val="00681652"/>
    <w:rsid w:val="0068222E"/>
    <w:rsid w:val="0068258A"/>
    <w:rsid w:val="006825DC"/>
    <w:rsid w:val="0068333D"/>
    <w:rsid w:val="0068335D"/>
    <w:rsid w:val="00684930"/>
    <w:rsid w:val="006852BF"/>
    <w:rsid w:val="00685527"/>
    <w:rsid w:val="006860BF"/>
    <w:rsid w:val="006870FA"/>
    <w:rsid w:val="0068766D"/>
    <w:rsid w:val="00687F99"/>
    <w:rsid w:val="00690C9B"/>
    <w:rsid w:val="00690D1F"/>
    <w:rsid w:val="006916EA"/>
    <w:rsid w:val="00691AF7"/>
    <w:rsid w:val="00691C30"/>
    <w:rsid w:val="00691FC8"/>
    <w:rsid w:val="00692399"/>
    <w:rsid w:val="0069252B"/>
    <w:rsid w:val="00692A09"/>
    <w:rsid w:val="00694734"/>
    <w:rsid w:val="00694A0D"/>
    <w:rsid w:val="00694EDF"/>
    <w:rsid w:val="00695750"/>
    <w:rsid w:val="00695B2F"/>
    <w:rsid w:val="00695E90"/>
    <w:rsid w:val="00696176"/>
    <w:rsid w:val="00696C8A"/>
    <w:rsid w:val="00697AC0"/>
    <w:rsid w:val="006A0BF7"/>
    <w:rsid w:val="006A0C6C"/>
    <w:rsid w:val="006A1BE9"/>
    <w:rsid w:val="006A2555"/>
    <w:rsid w:val="006A27F1"/>
    <w:rsid w:val="006A2ADA"/>
    <w:rsid w:val="006A32C3"/>
    <w:rsid w:val="006A440D"/>
    <w:rsid w:val="006A47E4"/>
    <w:rsid w:val="006A4A1B"/>
    <w:rsid w:val="006A5BD9"/>
    <w:rsid w:val="006A6C89"/>
    <w:rsid w:val="006B0A13"/>
    <w:rsid w:val="006B0CCA"/>
    <w:rsid w:val="006B1B60"/>
    <w:rsid w:val="006B1C75"/>
    <w:rsid w:val="006B1D6F"/>
    <w:rsid w:val="006B1EF6"/>
    <w:rsid w:val="006B2188"/>
    <w:rsid w:val="006B23AD"/>
    <w:rsid w:val="006B2560"/>
    <w:rsid w:val="006B28F1"/>
    <w:rsid w:val="006B367B"/>
    <w:rsid w:val="006B3E2F"/>
    <w:rsid w:val="006B4C28"/>
    <w:rsid w:val="006B4DE2"/>
    <w:rsid w:val="006B5207"/>
    <w:rsid w:val="006B534F"/>
    <w:rsid w:val="006B5D7B"/>
    <w:rsid w:val="006B6700"/>
    <w:rsid w:val="006B69BE"/>
    <w:rsid w:val="006B7D19"/>
    <w:rsid w:val="006B7FB7"/>
    <w:rsid w:val="006C0866"/>
    <w:rsid w:val="006C1C92"/>
    <w:rsid w:val="006C1DD3"/>
    <w:rsid w:val="006C276B"/>
    <w:rsid w:val="006C2EBB"/>
    <w:rsid w:val="006C3029"/>
    <w:rsid w:val="006C3797"/>
    <w:rsid w:val="006C4B8A"/>
    <w:rsid w:val="006C5329"/>
    <w:rsid w:val="006C6656"/>
    <w:rsid w:val="006C66E5"/>
    <w:rsid w:val="006C6A02"/>
    <w:rsid w:val="006C6FC5"/>
    <w:rsid w:val="006C71DC"/>
    <w:rsid w:val="006D03C5"/>
    <w:rsid w:val="006D08AB"/>
    <w:rsid w:val="006D0A9F"/>
    <w:rsid w:val="006D0F52"/>
    <w:rsid w:val="006D0F7B"/>
    <w:rsid w:val="006D172E"/>
    <w:rsid w:val="006D18DD"/>
    <w:rsid w:val="006D1CD1"/>
    <w:rsid w:val="006D1FDF"/>
    <w:rsid w:val="006D24BC"/>
    <w:rsid w:val="006D25B5"/>
    <w:rsid w:val="006D32C7"/>
    <w:rsid w:val="006D4766"/>
    <w:rsid w:val="006D555B"/>
    <w:rsid w:val="006D5CD8"/>
    <w:rsid w:val="006D5E6C"/>
    <w:rsid w:val="006D696A"/>
    <w:rsid w:val="006D76B9"/>
    <w:rsid w:val="006D793C"/>
    <w:rsid w:val="006E098A"/>
    <w:rsid w:val="006E144F"/>
    <w:rsid w:val="006E1749"/>
    <w:rsid w:val="006E1852"/>
    <w:rsid w:val="006E1A84"/>
    <w:rsid w:val="006E2597"/>
    <w:rsid w:val="006E28B8"/>
    <w:rsid w:val="006E300D"/>
    <w:rsid w:val="006E30B6"/>
    <w:rsid w:val="006E31FA"/>
    <w:rsid w:val="006E3827"/>
    <w:rsid w:val="006E3884"/>
    <w:rsid w:val="006E429B"/>
    <w:rsid w:val="006E45C8"/>
    <w:rsid w:val="006E4A4A"/>
    <w:rsid w:val="006E5326"/>
    <w:rsid w:val="006E5F97"/>
    <w:rsid w:val="006E6915"/>
    <w:rsid w:val="006E692C"/>
    <w:rsid w:val="006E7244"/>
    <w:rsid w:val="006E7CC4"/>
    <w:rsid w:val="006F002F"/>
    <w:rsid w:val="006F01F3"/>
    <w:rsid w:val="006F026F"/>
    <w:rsid w:val="006F06CC"/>
    <w:rsid w:val="006F0790"/>
    <w:rsid w:val="006F10D9"/>
    <w:rsid w:val="006F1171"/>
    <w:rsid w:val="006F13D0"/>
    <w:rsid w:val="006F239F"/>
    <w:rsid w:val="006F255D"/>
    <w:rsid w:val="006F25DF"/>
    <w:rsid w:val="006F26DB"/>
    <w:rsid w:val="006F4C52"/>
    <w:rsid w:val="006F4CBE"/>
    <w:rsid w:val="006F4CCB"/>
    <w:rsid w:val="006F5403"/>
    <w:rsid w:val="006F5AFA"/>
    <w:rsid w:val="006F6081"/>
    <w:rsid w:val="006F71AC"/>
    <w:rsid w:val="0070138D"/>
    <w:rsid w:val="00702B4A"/>
    <w:rsid w:val="007031BF"/>
    <w:rsid w:val="007034D8"/>
    <w:rsid w:val="007035C0"/>
    <w:rsid w:val="00704589"/>
    <w:rsid w:val="0070462D"/>
    <w:rsid w:val="007050DB"/>
    <w:rsid w:val="007054EF"/>
    <w:rsid w:val="0070715F"/>
    <w:rsid w:val="007074A6"/>
    <w:rsid w:val="00707AE4"/>
    <w:rsid w:val="00707EC8"/>
    <w:rsid w:val="00707F44"/>
    <w:rsid w:val="007105DC"/>
    <w:rsid w:val="007110BA"/>
    <w:rsid w:val="00711387"/>
    <w:rsid w:val="007126DF"/>
    <w:rsid w:val="00712E9B"/>
    <w:rsid w:val="007135B1"/>
    <w:rsid w:val="007138AC"/>
    <w:rsid w:val="00713B63"/>
    <w:rsid w:val="00714262"/>
    <w:rsid w:val="0071442F"/>
    <w:rsid w:val="00715C64"/>
    <w:rsid w:val="00716115"/>
    <w:rsid w:val="00716594"/>
    <w:rsid w:val="00716E01"/>
    <w:rsid w:val="007170AD"/>
    <w:rsid w:val="007175B7"/>
    <w:rsid w:val="00717CDC"/>
    <w:rsid w:val="00717D05"/>
    <w:rsid w:val="00717D58"/>
    <w:rsid w:val="00717E59"/>
    <w:rsid w:val="00717E8A"/>
    <w:rsid w:val="00720264"/>
    <w:rsid w:val="007202A8"/>
    <w:rsid w:val="007202CB"/>
    <w:rsid w:val="0072077D"/>
    <w:rsid w:val="007209B0"/>
    <w:rsid w:val="00721656"/>
    <w:rsid w:val="00721B8A"/>
    <w:rsid w:val="00721ECF"/>
    <w:rsid w:val="0072209B"/>
    <w:rsid w:val="00722742"/>
    <w:rsid w:val="00722FD6"/>
    <w:rsid w:val="0072343B"/>
    <w:rsid w:val="00723A3E"/>
    <w:rsid w:val="0072415A"/>
    <w:rsid w:val="00724167"/>
    <w:rsid w:val="007242A6"/>
    <w:rsid w:val="007243DF"/>
    <w:rsid w:val="00724C31"/>
    <w:rsid w:val="00724CEA"/>
    <w:rsid w:val="0072503B"/>
    <w:rsid w:val="00725563"/>
    <w:rsid w:val="00725EAB"/>
    <w:rsid w:val="00726594"/>
    <w:rsid w:val="007267F1"/>
    <w:rsid w:val="00727F31"/>
    <w:rsid w:val="007308AB"/>
    <w:rsid w:val="00730974"/>
    <w:rsid w:val="00730FA7"/>
    <w:rsid w:val="00731C36"/>
    <w:rsid w:val="00731E17"/>
    <w:rsid w:val="0073223D"/>
    <w:rsid w:val="00732AA7"/>
    <w:rsid w:val="00732D57"/>
    <w:rsid w:val="00733BDD"/>
    <w:rsid w:val="00734EEF"/>
    <w:rsid w:val="00735637"/>
    <w:rsid w:val="0073566D"/>
    <w:rsid w:val="007357EC"/>
    <w:rsid w:val="00735AEE"/>
    <w:rsid w:val="00735C26"/>
    <w:rsid w:val="00736421"/>
    <w:rsid w:val="007365B7"/>
    <w:rsid w:val="007369B8"/>
    <w:rsid w:val="007379BA"/>
    <w:rsid w:val="00740084"/>
    <w:rsid w:val="00740364"/>
    <w:rsid w:val="00740458"/>
    <w:rsid w:val="00740667"/>
    <w:rsid w:val="00740750"/>
    <w:rsid w:val="00740885"/>
    <w:rsid w:val="007409CD"/>
    <w:rsid w:val="00740E8F"/>
    <w:rsid w:val="00741274"/>
    <w:rsid w:val="007414C2"/>
    <w:rsid w:val="007415FC"/>
    <w:rsid w:val="007425D1"/>
    <w:rsid w:val="00742B24"/>
    <w:rsid w:val="007432B0"/>
    <w:rsid w:val="00744871"/>
    <w:rsid w:val="00744F17"/>
    <w:rsid w:val="00744FB9"/>
    <w:rsid w:val="00745B54"/>
    <w:rsid w:val="00745B64"/>
    <w:rsid w:val="00745EA3"/>
    <w:rsid w:val="00746223"/>
    <w:rsid w:val="00746329"/>
    <w:rsid w:val="00746463"/>
    <w:rsid w:val="007474C4"/>
    <w:rsid w:val="0075043E"/>
    <w:rsid w:val="00750860"/>
    <w:rsid w:val="00750C89"/>
    <w:rsid w:val="00751509"/>
    <w:rsid w:val="00751AEE"/>
    <w:rsid w:val="007531C5"/>
    <w:rsid w:val="00753234"/>
    <w:rsid w:val="00754944"/>
    <w:rsid w:val="00754BA3"/>
    <w:rsid w:val="00755640"/>
    <w:rsid w:val="007558C0"/>
    <w:rsid w:val="0075603A"/>
    <w:rsid w:val="00756353"/>
    <w:rsid w:val="007563F2"/>
    <w:rsid w:val="00756EBF"/>
    <w:rsid w:val="00756FDB"/>
    <w:rsid w:val="0075709D"/>
    <w:rsid w:val="007572C0"/>
    <w:rsid w:val="007603B5"/>
    <w:rsid w:val="007607A8"/>
    <w:rsid w:val="00760C4C"/>
    <w:rsid w:val="0076114E"/>
    <w:rsid w:val="00761CC9"/>
    <w:rsid w:val="00762450"/>
    <w:rsid w:val="00762C23"/>
    <w:rsid w:val="00762D6C"/>
    <w:rsid w:val="0076391A"/>
    <w:rsid w:val="00763CA6"/>
    <w:rsid w:val="00763E88"/>
    <w:rsid w:val="00764668"/>
    <w:rsid w:val="0076500A"/>
    <w:rsid w:val="007657EA"/>
    <w:rsid w:val="00765C46"/>
    <w:rsid w:val="00765C53"/>
    <w:rsid w:val="0076643F"/>
    <w:rsid w:val="007672BF"/>
    <w:rsid w:val="00767419"/>
    <w:rsid w:val="00767757"/>
    <w:rsid w:val="00767943"/>
    <w:rsid w:val="00767AEB"/>
    <w:rsid w:val="00767DE5"/>
    <w:rsid w:val="00770086"/>
    <w:rsid w:val="0077028B"/>
    <w:rsid w:val="00770A07"/>
    <w:rsid w:val="00771DFE"/>
    <w:rsid w:val="007720AE"/>
    <w:rsid w:val="007724D3"/>
    <w:rsid w:val="00773312"/>
    <w:rsid w:val="0077391D"/>
    <w:rsid w:val="00773F3C"/>
    <w:rsid w:val="0077460C"/>
    <w:rsid w:val="007748B1"/>
    <w:rsid w:val="00774D9E"/>
    <w:rsid w:val="0077574D"/>
    <w:rsid w:val="00775D48"/>
    <w:rsid w:val="00776770"/>
    <w:rsid w:val="00777158"/>
    <w:rsid w:val="0078003A"/>
    <w:rsid w:val="00780085"/>
    <w:rsid w:val="0078045C"/>
    <w:rsid w:val="00780F86"/>
    <w:rsid w:val="007812BF"/>
    <w:rsid w:val="007818B7"/>
    <w:rsid w:val="00781C6C"/>
    <w:rsid w:val="00782BCE"/>
    <w:rsid w:val="00782ED9"/>
    <w:rsid w:val="0078309A"/>
    <w:rsid w:val="007835DE"/>
    <w:rsid w:val="0078486B"/>
    <w:rsid w:val="00784EB7"/>
    <w:rsid w:val="00784EBD"/>
    <w:rsid w:val="00785F6A"/>
    <w:rsid w:val="00786C07"/>
    <w:rsid w:val="00787814"/>
    <w:rsid w:val="007900A2"/>
    <w:rsid w:val="0079015F"/>
    <w:rsid w:val="00790A5C"/>
    <w:rsid w:val="00791083"/>
    <w:rsid w:val="007926DB"/>
    <w:rsid w:val="0079277E"/>
    <w:rsid w:val="0079343B"/>
    <w:rsid w:val="00793C42"/>
    <w:rsid w:val="00793FAA"/>
    <w:rsid w:val="00794A10"/>
    <w:rsid w:val="0079511F"/>
    <w:rsid w:val="00795801"/>
    <w:rsid w:val="00796012"/>
    <w:rsid w:val="007969DA"/>
    <w:rsid w:val="007974E6"/>
    <w:rsid w:val="007975A1"/>
    <w:rsid w:val="00797C59"/>
    <w:rsid w:val="007A027D"/>
    <w:rsid w:val="007A0301"/>
    <w:rsid w:val="007A031F"/>
    <w:rsid w:val="007A0C8D"/>
    <w:rsid w:val="007A0DBE"/>
    <w:rsid w:val="007A0DF1"/>
    <w:rsid w:val="007A11DA"/>
    <w:rsid w:val="007A1D9A"/>
    <w:rsid w:val="007A232E"/>
    <w:rsid w:val="007A24DC"/>
    <w:rsid w:val="007A2B7F"/>
    <w:rsid w:val="007A2D6B"/>
    <w:rsid w:val="007A2D73"/>
    <w:rsid w:val="007A2FB2"/>
    <w:rsid w:val="007A32C5"/>
    <w:rsid w:val="007A33DE"/>
    <w:rsid w:val="007A3638"/>
    <w:rsid w:val="007A3694"/>
    <w:rsid w:val="007A4D62"/>
    <w:rsid w:val="007A50BF"/>
    <w:rsid w:val="007A6132"/>
    <w:rsid w:val="007A685D"/>
    <w:rsid w:val="007A6D19"/>
    <w:rsid w:val="007A70E2"/>
    <w:rsid w:val="007B1647"/>
    <w:rsid w:val="007B2E24"/>
    <w:rsid w:val="007B3176"/>
    <w:rsid w:val="007B37CE"/>
    <w:rsid w:val="007B4B52"/>
    <w:rsid w:val="007B4FF3"/>
    <w:rsid w:val="007B55B8"/>
    <w:rsid w:val="007B5796"/>
    <w:rsid w:val="007B5905"/>
    <w:rsid w:val="007B6A59"/>
    <w:rsid w:val="007B6DBE"/>
    <w:rsid w:val="007B7942"/>
    <w:rsid w:val="007B7958"/>
    <w:rsid w:val="007C0E38"/>
    <w:rsid w:val="007C12E7"/>
    <w:rsid w:val="007C2409"/>
    <w:rsid w:val="007C260F"/>
    <w:rsid w:val="007C266A"/>
    <w:rsid w:val="007C323D"/>
    <w:rsid w:val="007C3F88"/>
    <w:rsid w:val="007C49FF"/>
    <w:rsid w:val="007C4E31"/>
    <w:rsid w:val="007C5730"/>
    <w:rsid w:val="007C7060"/>
    <w:rsid w:val="007C7DB0"/>
    <w:rsid w:val="007D0030"/>
    <w:rsid w:val="007D0077"/>
    <w:rsid w:val="007D0DCF"/>
    <w:rsid w:val="007D0E22"/>
    <w:rsid w:val="007D1398"/>
    <w:rsid w:val="007D29B2"/>
    <w:rsid w:val="007D2BD8"/>
    <w:rsid w:val="007D2C92"/>
    <w:rsid w:val="007D3FD5"/>
    <w:rsid w:val="007D46DA"/>
    <w:rsid w:val="007D48E0"/>
    <w:rsid w:val="007D4D68"/>
    <w:rsid w:val="007D5E3F"/>
    <w:rsid w:val="007D67BB"/>
    <w:rsid w:val="007D6858"/>
    <w:rsid w:val="007D6914"/>
    <w:rsid w:val="007D719C"/>
    <w:rsid w:val="007D748A"/>
    <w:rsid w:val="007D7C94"/>
    <w:rsid w:val="007E0491"/>
    <w:rsid w:val="007E0A29"/>
    <w:rsid w:val="007E0B15"/>
    <w:rsid w:val="007E0DA6"/>
    <w:rsid w:val="007E1612"/>
    <w:rsid w:val="007E21BD"/>
    <w:rsid w:val="007E21C9"/>
    <w:rsid w:val="007E280F"/>
    <w:rsid w:val="007E3185"/>
    <w:rsid w:val="007E4333"/>
    <w:rsid w:val="007E4645"/>
    <w:rsid w:val="007E50D5"/>
    <w:rsid w:val="007E7080"/>
    <w:rsid w:val="007E723C"/>
    <w:rsid w:val="007E73A3"/>
    <w:rsid w:val="007E767D"/>
    <w:rsid w:val="007E776E"/>
    <w:rsid w:val="007E7A20"/>
    <w:rsid w:val="007F0152"/>
    <w:rsid w:val="007F0169"/>
    <w:rsid w:val="007F0AB7"/>
    <w:rsid w:val="007F0ED7"/>
    <w:rsid w:val="007F1B34"/>
    <w:rsid w:val="007F2A4B"/>
    <w:rsid w:val="007F2BE2"/>
    <w:rsid w:val="007F463B"/>
    <w:rsid w:val="007F50A6"/>
    <w:rsid w:val="007F55CC"/>
    <w:rsid w:val="007F5A82"/>
    <w:rsid w:val="007F61BC"/>
    <w:rsid w:val="007F6625"/>
    <w:rsid w:val="007F6669"/>
    <w:rsid w:val="007F675C"/>
    <w:rsid w:val="007F6F83"/>
    <w:rsid w:val="007F76E2"/>
    <w:rsid w:val="008004EC"/>
    <w:rsid w:val="00800922"/>
    <w:rsid w:val="00800B6D"/>
    <w:rsid w:val="008025C2"/>
    <w:rsid w:val="008027DD"/>
    <w:rsid w:val="008029F0"/>
    <w:rsid w:val="00802D40"/>
    <w:rsid w:val="00803448"/>
    <w:rsid w:val="008035B5"/>
    <w:rsid w:val="00803885"/>
    <w:rsid w:val="00805263"/>
    <w:rsid w:val="008057E4"/>
    <w:rsid w:val="0080588C"/>
    <w:rsid w:val="00806736"/>
    <w:rsid w:val="00806EA6"/>
    <w:rsid w:val="00806FC1"/>
    <w:rsid w:val="0080764C"/>
    <w:rsid w:val="0080766C"/>
    <w:rsid w:val="00807717"/>
    <w:rsid w:val="00807B72"/>
    <w:rsid w:val="008112B7"/>
    <w:rsid w:val="0081140B"/>
    <w:rsid w:val="00811DC9"/>
    <w:rsid w:val="00811FE7"/>
    <w:rsid w:val="0081253A"/>
    <w:rsid w:val="00812E7A"/>
    <w:rsid w:val="00812E9F"/>
    <w:rsid w:val="0081364B"/>
    <w:rsid w:val="0081378C"/>
    <w:rsid w:val="00813D0A"/>
    <w:rsid w:val="0081487A"/>
    <w:rsid w:val="00815297"/>
    <w:rsid w:val="008154E5"/>
    <w:rsid w:val="00815E43"/>
    <w:rsid w:val="00815F23"/>
    <w:rsid w:val="0081653C"/>
    <w:rsid w:val="0082127C"/>
    <w:rsid w:val="008212B6"/>
    <w:rsid w:val="00821F3C"/>
    <w:rsid w:val="00822245"/>
    <w:rsid w:val="008226AF"/>
    <w:rsid w:val="00822C0C"/>
    <w:rsid w:val="00822DF8"/>
    <w:rsid w:val="00823430"/>
    <w:rsid w:val="00823597"/>
    <w:rsid w:val="00823BA3"/>
    <w:rsid w:val="008240BB"/>
    <w:rsid w:val="0082499D"/>
    <w:rsid w:val="00824F89"/>
    <w:rsid w:val="008256E5"/>
    <w:rsid w:val="00825AA4"/>
    <w:rsid w:val="00825E45"/>
    <w:rsid w:val="00826127"/>
    <w:rsid w:val="00826322"/>
    <w:rsid w:val="008266D6"/>
    <w:rsid w:val="00826953"/>
    <w:rsid w:val="00826AB7"/>
    <w:rsid w:val="008270BB"/>
    <w:rsid w:val="0082737C"/>
    <w:rsid w:val="00827CA0"/>
    <w:rsid w:val="00831402"/>
    <w:rsid w:val="008316C1"/>
    <w:rsid w:val="0083205C"/>
    <w:rsid w:val="0083222B"/>
    <w:rsid w:val="008330C3"/>
    <w:rsid w:val="008334B8"/>
    <w:rsid w:val="00833776"/>
    <w:rsid w:val="00834360"/>
    <w:rsid w:val="00834E12"/>
    <w:rsid w:val="00834F52"/>
    <w:rsid w:val="00834F8C"/>
    <w:rsid w:val="008350B1"/>
    <w:rsid w:val="00835C01"/>
    <w:rsid w:val="00837454"/>
    <w:rsid w:val="0083768E"/>
    <w:rsid w:val="00837981"/>
    <w:rsid w:val="00837A4F"/>
    <w:rsid w:val="0084032C"/>
    <w:rsid w:val="00840584"/>
    <w:rsid w:val="0084058A"/>
    <w:rsid w:val="00840FED"/>
    <w:rsid w:val="00841330"/>
    <w:rsid w:val="00841C73"/>
    <w:rsid w:val="00841CE5"/>
    <w:rsid w:val="00841EE7"/>
    <w:rsid w:val="00842CCA"/>
    <w:rsid w:val="00842E0D"/>
    <w:rsid w:val="00843878"/>
    <w:rsid w:val="00843C28"/>
    <w:rsid w:val="00844458"/>
    <w:rsid w:val="008456EB"/>
    <w:rsid w:val="00845BB5"/>
    <w:rsid w:val="00846048"/>
    <w:rsid w:val="00846F1F"/>
    <w:rsid w:val="00846F55"/>
    <w:rsid w:val="00847746"/>
    <w:rsid w:val="00847958"/>
    <w:rsid w:val="00847C98"/>
    <w:rsid w:val="00850957"/>
    <w:rsid w:val="00850C29"/>
    <w:rsid w:val="00850D76"/>
    <w:rsid w:val="008515C6"/>
    <w:rsid w:val="00851731"/>
    <w:rsid w:val="00851841"/>
    <w:rsid w:val="00851C6A"/>
    <w:rsid w:val="00851DEB"/>
    <w:rsid w:val="00851F31"/>
    <w:rsid w:val="008520A4"/>
    <w:rsid w:val="008526FC"/>
    <w:rsid w:val="00852AA7"/>
    <w:rsid w:val="00853290"/>
    <w:rsid w:val="00853CCC"/>
    <w:rsid w:val="00854B24"/>
    <w:rsid w:val="008553BA"/>
    <w:rsid w:val="008562C0"/>
    <w:rsid w:val="008562DA"/>
    <w:rsid w:val="00857137"/>
    <w:rsid w:val="008577D2"/>
    <w:rsid w:val="00857C33"/>
    <w:rsid w:val="00860511"/>
    <w:rsid w:val="008605A1"/>
    <w:rsid w:val="008605AE"/>
    <w:rsid w:val="008608A5"/>
    <w:rsid w:val="00860E7A"/>
    <w:rsid w:val="00861173"/>
    <w:rsid w:val="00861222"/>
    <w:rsid w:val="00861515"/>
    <w:rsid w:val="00861A22"/>
    <w:rsid w:val="008624B9"/>
    <w:rsid w:val="0086411B"/>
    <w:rsid w:val="00864647"/>
    <w:rsid w:val="00865614"/>
    <w:rsid w:val="00866089"/>
    <w:rsid w:val="00867D8D"/>
    <w:rsid w:val="00870B39"/>
    <w:rsid w:val="00873243"/>
    <w:rsid w:val="00873342"/>
    <w:rsid w:val="00873823"/>
    <w:rsid w:val="0087385A"/>
    <w:rsid w:val="00873A56"/>
    <w:rsid w:val="008740D6"/>
    <w:rsid w:val="0087415A"/>
    <w:rsid w:val="008749FC"/>
    <w:rsid w:val="00874D0D"/>
    <w:rsid w:val="00874FDC"/>
    <w:rsid w:val="0087500A"/>
    <w:rsid w:val="0087633B"/>
    <w:rsid w:val="00876B2E"/>
    <w:rsid w:val="008772A9"/>
    <w:rsid w:val="00877422"/>
    <w:rsid w:val="00877482"/>
    <w:rsid w:val="00877CE7"/>
    <w:rsid w:val="0088011F"/>
    <w:rsid w:val="0088161C"/>
    <w:rsid w:val="00881C7E"/>
    <w:rsid w:val="00884B4A"/>
    <w:rsid w:val="008851BD"/>
    <w:rsid w:val="00885701"/>
    <w:rsid w:val="00885C13"/>
    <w:rsid w:val="00885D53"/>
    <w:rsid w:val="0088605E"/>
    <w:rsid w:val="00886178"/>
    <w:rsid w:val="00886525"/>
    <w:rsid w:val="00887243"/>
    <w:rsid w:val="00887C6E"/>
    <w:rsid w:val="00887E3D"/>
    <w:rsid w:val="0089040D"/>
    <w:rsid w:val="00890BC7"/>
    <w:rsid w:val="0089127D"/>
    <w:rsid w:val="008917D3"/>
    <w:rsid w:val="008919BE"/>
    <w:rsid w:val="00892359"/>
    <w:rsid w:val="0089293F"/>
    <w:rsid w:val="008937C3"/>
    <w:rsid w:val="00893CF8"/>
    <w:rsid w:val="0089458B"/>
    <w:rsid w:val="00894D3D"/>
    <w:rsid w:val="008956D3"/>
    <w:rsid w:val="008958A3"/>
    <w:rsid w:val="00895B79"/>
    <w:rsid w:val="00896026"/>
    <w:rsid w:val="008964AD"/>
    <w:rsid w:val="00896952"/>
    <w:rsid w:val="00896A27"/>
    <w:rsid w:val="00896C6B"/>
    <w:rsid w:val="00897311"/>
    <w:rsid w:val="00897A4E"/>
    <w:rsid w:val="008A04F4"/>
    <w:rsid w:val="008A09E2"/>
    <w:rsid w:val="008A1235"/>
    <w:rsid w:val="008A1742"/>
    <w:rsid w:val="008A21FD"/>
    <w:rsid w:val="008A2C26"/>
    <w:rsid w:val="008A3323"/>
    <w:rsid w:val="008A3660"/>
    <w:rsid w:val="008A37AE"/>
    <w:rsid w:val="008A5812"/>
    <w:rsid w:val="008A5E0F"/>
    <w:rsid w:val="008A635E"/>
    <w:rsid w:val="008A636D"/>
    <w:rsid w:val="008A6897"/>
    <w:rsid w:val="008A6EE6"/>
    <w:rsid w:val="008A705F"/>
    <w:rsid w:val="008A75AF"/>
    <w:rsid w:val="008A77EE"/>
    <w:rsid w:val="008B12C5"/>
    <w:rsid w:val="008B2FDA"/>
    <w:rsid w:val="008B2FFE"/>
    <w:rsid w:val="008B5807"/>
    <w:rsid w:val="008B5C4F"/>
    <w:rsid w:val="008B60AE"/>
    <w:rsid w:val="008B6634"/>
    <w:rsid w:val="008B717D"/>
    <w:rsid w:val="008B7AF2"/>
    <w:rsid w:val="008B7EBF"/>
    <w:rsid w:val="008C0726"/>
    <w:rsid w:val="008C0CE3"/>
    <w:rsid w:val="008C0D25"/>
    <w:rsid w:val="008C0EF4"/>
    <w:rsid w:val="008C11C8"/>
    <w:rsid w:val="008C141D"/>
    <w:rsid w:val="008C254D"/>
    <w:rsid w:val="008C2A83"/>
    <w:rsid w:val="008C3381"/>
    <w:rsid w:val="008C35F8"/>
    <w:rsid w:val="008C3717"/>
    <w:rsid w:val="008C3CFA"/>
    <w:rsid w:val="008C4360"/>
    <w:rsid w:val="008C48AC"/>
    <w:rsid w:val="008C4CF6"/>
    <w:rsid w:val="008C5887"/>
    <w:rsid w:val="008C5AA3"/>
    <w:rsid w:val="008C5CA8"/>
    <w:rsid w:val="008C5D59"/>
    <w:rsid w:val="008C6379"/>
    <w:rsid w:val="008C6853"/>
    <w:rsid w:val="008C78AB"/>
    <w:rsid w:val="008C7A61"/>
    <w:rsid w:val="008C7F8F"/>
    <w:rsid w:val="008D0B38"/>
    <w:rsid w:val="008D1131"/>
    <w:rsid w:val="008D12BA"/>
    <w:rsid w:val="008D23CE"/>
    <w:rsid w:val="008D2912"/>
    <w:rsid w:val="008D2AC0"/>
    <w:rsid w:val="008D3248"/>
    <w:rsid w:val="008D3B0A"/>
    <w:rsid w:val="008D42EE"/>
    <w:rsid w:val="008D4C9B"/>
    <w:rsid w:val="008D5993"/>
    <w:rsid w:val="008D5C3D"/>
    <w:rsid w:val="008D5DAF"/>
    <w:rsid w:val="008D6963"/>
    <w:rsid w:val="008D6A4E"/>
    <w:rsid w:val="008D6CB0"/>
    <w:rsid w:val="008D75E7"/>
    <w:rsid w:val="008E0356"/>
    <w:rsid w:val="008E07A8"/>
    <w:rsid w:val="008E07F7"/>
    <w:rsid w:val="008E0F82"/>
    <w:rsid w:val="008E1FB9"/>
    <w:rsid w:val="008E24F5"/>
    <w:rsid w:val="008E253C"/>
    <w:rsid w:val="008E2EA1"/>
    <w:rsid w:val="008E38DA"/>
    <w:rsid w:val="008E44C4"/>
    <w:rsid w:val="008E45BD"/>
    <w:rsid w:val="008E4F44"/>
    <w:rsid w:val="008E5B00"/>
    <w:rsid w:val="008E6522"/>
    <w:rsid w:val="008E6FF0"/>
    <w:rsid w:val="008E7445"/>
    <w:rsid w:val="008E76F1"/>
    <w:rsid w:val="008E7739"/>
    <w:rsid w:val="008E7ABA"/>
    <w:rsid w:val="008E7B11"/>
    <w:rsid w:val="008E7CA2"/>
    <w:rsid w:val="008F0540"/>
    <w:rsid w:val="008F06D9"/>
    <w:rsid w:val="008F083F"/>
    <w:rsid w:val="008F0888"/>
    <w:rsid w:val="008F1881"/>
    <w:rsid w:val="008F2372"/>
    <w:rsid w:val="008F2C95"/>
    <w:rsid w:val="008F2E0E"/>
    <w:rsid w:val="008F314D"/>
    <w:rsid w:val="008F324D"/>
    <w:rsid w:val="008F34EF"/>
    <w:rsid w:val="008F43B8"/>
    <w:rsid w:val="008F47F3"/>
    <w:rsid w:val="008F494F"/>
    <w:rsid w:val="008F58E2"/>
    <w:rsid w:val="008F59F3"/>
    <w:rsid w:val="008F62A1"/>
    <w:rsid w:val="008F6689"/>
    <w:rsid w:val="008F6B79"/>
    <w:rsid w:val="008F6D37"/>
    <w:rsid w:val="008F74EB"/>
    <w:rsid w:val="008F770F"/>
    <w:rsid w:val="008F79EB"/>
    <w:rsid w:val="00900649"/>
    <w:rsid w:val="00901938"/>
    <w:rsid w:val="00901F0D"/>
    <w:rsid w:val="0090266A"/>
    <w:rsid w:val="0090277C"/>
    <w:rsid w:val="00903455"/>
    <w:rsid w:val="00903654"/>
    <w:rsid w:val="00903CD6"/>
    <w:rsid w:val="00903F47"/>
    <w:rsid w:val="009041FB"/>
    <w:rsid w:val="009042C3"/>
    <w:rsid w:val="009043C7"/>
    <w:rsid w:val="00904608"/>
    <w:rsid w:val="00904735"/>
    <w:rsid w:val="00904859"/>
    <w:rsid w:val="00905704"/>
    <w:rsid w:val="00907297"/>
    <w:rsid w:val="009106E3"/>
    <w:rsid w:val="009114CE"/>
    <w:rsid w:val="00911834"/>
    <w:rsid w:val="00911884"/>
    <w:rsid w:val="009123D3"/>
    <w:rsid w:val="00912903"/>
    <w:rsid w:val="0091337D"/>
    <w:rsid w:val="009140EF"/>
    <w:rsid w:val="00914244"/>
    <w:rsid w:val="009142A8"/>
    <w:rsid w:val="009144C1"/>
    <w:rsid w:val="009145DC"/>
    <w:rsid w:val="00914B8F"/>
    <w:rsid w:val="00915301"/>
    <w:rsid w:val="00915F18"/>
    <w:rsid w:val="009167C3"/>
    <w:rsid w:val="00916F5B"/>
    <w:rsid w:val="009172C6"/>
    <w:rsid w:val="009174BF"/>
    <w:rsid w:val="00917AE5"/>
    <w:rsid w:val="009204F2"/>
    <w:rsid w:val="009211AD"/>
    <w:rsid w:val="00921D9A"/>
    <w:rsid w:val="00922EB3"/>
    <w:rsid w:val="00923FA2"/>
    <w:rsid w:val="00924359"/>
    <w:rsid w:val="009261FA"/>
    <w:rsid w:val="009276A5"/>
    <w:rsid w:val="009309CC"/>
    <w:rsid w:val="00930F42"/>
    <w:rsid w:val="0093201B"/>
    <w:rsid w:val="00932E0A"/>
    <w:rsid w:val="00933380"/>
    <w:rsid w:val="00934270"/>
    <w:rsid w:val="00935259"/>
    <w:rsid w:val="0093582A"/>
    <w:rsid w:val="00936DB9"/>
    <w:rsid w:val="00940B99"/>
    <w:rsid w:val="00940E08"/>
    <w:rsid w:val="00941C16"/>
    <w:rsid w:val="00942158"/>
    <w:rsid w:val="00942632"/>
    <w:rsid w:val="00943616"/>
    <w:rsid w:val="00943852"/>
    <w:rsid w:val="009451B8"/>
    <w:rsid w:val="00945446"/>
    <w:rsid w:val="00945880"/>
    <w:rsid w:val="00945DD2"/>
    <w:rsid w:val="00945FEC"/>
    <w:rsid w:val="0094610C"/>
    <w:rsid w:val="00946E12"/>
    <w:rsid w:val="00950367"/>
    <w:rsid w:val="00950B2D"/>
    <w:rsid w:val="00950C31"/>
    <w:rsid w:val="00950FCA"/>
    <w:rsid w:val="009524AC"/>
    <w:rsid w:val="00952711"/>
    <w:rsid w:val="009527F1"/>
    <w:rsid w:val="00952911"/>
    <w:rsid w:val="009529CB"/>
    <w:rsid w:val="00952D0A"/>
    <w:rsid w:val="00953F58"/>
    <w:rsid w:val="00954537"/>
    <w:rsid w:val="0095486B"/>
    <w:rsid w:val="00954BA1"/>
    <w:rsid w:val="0095519B"/>
    <w:rsid w:val="00955591"/>
    <w:rsid w:val="00955A37"/>
    <w:rsid w:val="00955A52"/>
    <w:rsid w:val="00955CB3"/>
    <w:rsid w:val="009561A7"/>
    <w:rsid w:val="00957142"/>
    <w:rsid w:val="0096043F"/>
    <w:rsid w:val="009604E6"/>
    <w:rsid w:val="009608AE"/>
    <w:rsid w:val="00960EAC"/>
    <w:rsid w:val="00961223"/>
    <w:rsid w:val="00961312"/>
    <w:rsid w:val="009614FF"/>
    <w:rsid w:val="0096165D"/>
    <w:rsid w:val="009617AF"/>
    <w:rsid w:val="00961865"/>
    <w:rsid w:val="009618AD"/>
    <w:rsid w:val="00961C05"/>
    <w:rsid w:val="00962027"/>
    <w:rsid w:val="00962256"/>
    <w:rsid w:val="009625A0"/>
    <w:rsid w:val="00963766"/>
    <w:rsid w:val="0096376C"/>
    <w:rsid w:val="00964CB7"/>
    <w:rsid w:val="00965657"/>
    <w:rsid w:val="00965E00"/>
    <w:rsid w:val="00966029"/>
    <w:rsid w:val="009663CA"/>
    <w:rsid w:val="00966786"/>
    <w:rsid w:val="009671C5"/>
    <w:rsid w:val="00967472"/>
    <w:rsid w:val="00967B47"/>
    <w:rsid w:val="009707B8"/>
    <w:rsid w:val="00970F24"/>
    <w:rsid w:val="00971908"/>
    <w:rsid w:val="00971EEA"/>
    <w:rsid w:val="00972497"/>
    <w:rsid w:val="009732F9"/>
    <w:rsid w:val="00973E5A"/>
    <w:rsid w:val="00973FBE"/>
    <w:rsid w:val="00974600"/>
    <w:rsid w:val="00974D31"/>
    <w:rsid w:val="009753C3"/>
    <w:rsid w:val="0097569F"/>
    <w:rsid w:val="009762C5"/>
    <w:rsid w:val="00977BAA"/>
    <w:rsid w:val="00977C31"/>
    <w:rsid w:val="00980415"/>
    <w:rsid w:val="009808A3"/>
    <w:rsid w:val="00980A05"/>
    <w:rsid w:val="00980C93"/>
    <w:rsid w:val="00980EDA"/>
    <w:rsid w:val="00981B6C"/>
    <w:rsid w:val="00982636"/>
    <w:rsid w:val="00982866"/>
    <w:rsid w:val="009831CF"/>
    <w:rsid w:val="0098460E"/>
    <w:rsid w:val="00984692"/>
    <w:rsid w:val="00984A31"/>
    <w:rsid w:val="0098519E"/>
    <w:rsid w:val="009858D0"/>
    <w:rsid w:val="00985BBF"/>
    <w:rsid w:val="00985BE2"/>
    <w:rsid w:val="0098643C"/>
    <w:rsid w:val="009868A5"/>
    <w:rsid w:val="00986F64"/>
    <w:rsid w:val="00987AD9"/>
    <w:rsid w:val="00990360"/>
    <w:rsid w:val="009903B8"/>
    <w:rsid w:val="009905DF"/>
    <w:rsid w:val="00990A1F"/>
    <w:rsid w:val="00990FDD"/>
    <w:rsid w:val="009919C6"/>
    <w:rsid w:val="00992261"/>
    <w:rsid w:val="0099273E"/>
    <w:rsid w:val="00992C04"/>
    <w:rsid w:val="009930CF"/>
    <w:rsid w:val="009932AB"/>
    <w:rsid w:val="009932BE"/>
    <w:rsid w:val="009934BB"/>
    <w:rsid w:val="00993890"/>
    <w:rsid w:val="00993CB5"/>
    <w:rsid w:val="00994291"/>
    <w:rsid w:val="009947B6"/>
    <w:rsid w:val="0099500F"/>
    <w:rsid w:val="009953AB"/>
    <w:rsid w:val="00995A6E"/>
    <w:rsid w:val="00996371"/>
    <w:rsid w:val="00997651"/>
    <w:rsid w:val="00997741"/>
    <w:rsid w:val="009A017F"/>
    <w:rsid w:val="009A2B5A"/>
    <w:rsid w:val="009A3333"/>
    <w:rsid w:val="009A351A"/>
    <w:rsid w:val="009A3F46"/>
    <w:rsid w:val="009A4386"/>
    <w:rsid w:val="009A4A64"/>
    <w:rsid w:val="009A4BA3"/>
    <w:rsid w:val="009A4ED2"/>
    <w:rsid w:val="009A4ED6"/>
    <w:rsid w:val="009A5AC0"/>
    <w:rsid w:val="009A5B64"/>
    <w:rsid w:val="009A60C4"/>
    <w:rsid w:val="009A6255"/>
    <w:rsid w:val="009A6495"/>
    <w:rsid w:val="009A691E"/>
    <w:rsid w:val="009A775B"/>
    <w:rsid w:val="009B0924"/>
    <w:rsid w:val="009B1E9A"/>
    <w:rsid w:val="009B2557"/>
    <w:rsid w:val="009B2A8B"/>
    <w:rsid w:val="009B2AB5"/>
    <w:rsid w:val="009B2B6D"/>
    <w:rsid w:val="009B316D"/>
    <w:rsid w:val="009B465F"/>
    <w:rsid w:val="009B47AE"/>
    <w:rsid w:val="009B4EC7"/>
    <w:rsid w:val="009B55B3"/>
    <w:rsid w:val="009B5AB2"/>
    <w:rsid w:val="009B5E7F"/>
    <w:rsid w:val="009B674E"/>
    <w:rsid w:val="009B6809"/>
    <w:rsid w:val="009B6C57"/>
    <w:rsid w:val="009B6EB2"/>
    <w:rsid w:val="009B7546"/>
    <w:rsid w:val="009C0398"/>
    <w:rsid w:val="009C0AFA"/>
    <w:rsid w:val="009C0B96"/>
    <w:rsid w:val="009C1205"/>
    <w:rsid w:val="009C1240"/>
    <w:rsid w:val="009C2915"/>
    <w:rsid w:val="009C32D4"/>
    <w:rsid w:val="009C36A3"/>
    <w:rsid w:val="009C4B06"/>
    <w:rsid w:val="009C5070"/>
    <w:rsid w:val="009C5B65"/>
    <w:rsid w:val="009C5DEF"/>
    <w:rsid w:val="009C67CE"/>
    <w:rsid w:val="009C6AF3"/>
    <w:rsid w:val="009C6E14"/>
    <w:rsid w:val="009C6FEE"/>
    <w:rsid w:val="009C73AD"/>
    <w:rsid w:val="009C770D"/>
    <w:rsid w:val="009C797F"/>
    <w:rsid w:val="009C7BC0"/>
    <w:rsid w:val="009C7DD4"/>
    <w:rsid w:val="009D03E0"/>
    <w:rsid w:val="009D10BD"/>
    <w:rsid w:val="009D238E"/>
    <w:rsid w:val="009D2B5C"/>
    <w:rsid w:val="009D2C9E"/>
    <w:rsid w:val="009D2D04"/>
    <w:rsid w:val="009D3780"/>
    <w:rsid w:val="009D398B"/>
    <w:rsid w:val="009D4188"/>
    <w:rsid w:val="009D4EA3"/>
    <w:rsid w:val="009D5AC8"/>
    <w:rsid w:val="009D5E94"/>
    <w:rsid w:val="009D63C2"/>
    <w:rsid w:val="009D670B"/>
    <w:rsid w:val="009D6A62"/>
    <w:rsid w:val="009D6D21"/>
    <w:rsid w:val="009D7512"/>
    <w:rsid w:val="009D7993"/>
    <w:rsid w:val="009D7C4F"/>
    <w:rsid w:val="009E0418"/>
    <w:rsid w:val="009E08FD"/>
    <w:rsid w:val="009E0DEA"/>
    <w:rsid w:val="009E0E5B"/>
    <w:rsid w:val="009E1564"/>
    <w:rsid w:val="009E1935"/>
    <w:rsid w:val="009E1D1D"/>
    <w:rsid w:val="009E23EA"/>
    <w:rsid w:val="009E278D"/>
    <w:rsid w:val="009E2A65"/>
    <w:rsid w:val="009E3EAC"/>
    <w:rsid w:val="009E4013"/>
    <w:rsid w:val="009E493F"/>
    <w:rsid w:val="009E5233"/>
    <w:rsid w:val="009E5C3A"/>
    <w:rsid w:val="009E6122"/>
    <w:rsid w:val="009E62CA"/>
    <w:rsid w:val="009E6ED7"/>
    <w:rsid w:val="009E78F1"/>
    <w:rsid w:val="009F07AA"/>
    <w:rsid w:val="009F07F0"/>
    <w:rsid w:val="009F16DE"/>
    <w:rsid w:val="009F1734"/>
    <w:rsid w:val="009F1885"/>
    <w:rsid w:val="009F1974"/>
    <w:rsid w:val="009F1ABB"/>
    <w:rsid w:val="009F206A"/>
    <w:rsid w:val="009F25A2"/>
    <w:rsid w:val="009F2A80"/>
    <w:rsid w:val="009F2C21"/>
    <w:rsid w:val="009F3AB8"/>
    <w:rsid w:val="009F3E2C"/>
    <w:rsid w:val="009F499D"/>
    <w:rsid w:val="009F4ECB"/>
    <w:rsid w:val="009F58DC"/>
    <w:rsid w:val="009F5E48"/>
    <w:rsid w:val="009F64B6"/>
    <w:rsid w:val="009F6A17"/>
    <w:rsid w:val="009F71DF"/>
    <w:rsid w:val="009F742B"/>
    <w:rsid w:val="009F7459"/>
    <w:rsid w:val="009F751A"/>
    <w:rsid w:val="009F78E5"/>
    <w:rsid w:val="009F7FA8"/>
    <w:rsid w:val="00A0080B"/>
    <w:rsid w:val="00A00A01"/>
    <w:rsid w:val="00A00BC2"/>
    <w:rsid w:val="00A013AF"/>
    <w:rsid w:val="00A0143F"/>
    <w:rsid w:val="00A019E6"/>
    <w:rsid w:val="00A01E01"/>
    <w:rsid w:val="00A0245B"/>
    <w:rsid w:val="00A02496"/>
    <w:rsid w:val="00A0282F"/>
    <w:rsid w:val="00A0344E"/>
    <w:rsid w:val="00A03F92"/>
    <w:rsid w:val="00A041FA"/>
    <w:rsid w:val="00A049E9"/>
    <w:rsid w:val="00A04BBB"/>
    <w:rsid w:val="00A06143"/>
    <w:rsid w:val="00A06313"/>
    <w:rsid w:val="00A06EE5"/>
    <w:rsid w:val="00A07670"/>
    <w:rsid w:val="00A07717"/>
    <w:rsid w:val="00A07A61"/>
    <w:rsid w:val="00A07AE0"/>
    <w:rsid w:val="00A101BC"/>
    <w:rsid w:val="00A10482"/>
    <w:rsid w:val="00A10725"/>
    <w:rsid w:val="00A108ED"/>
    <w:rsid w:val="00A109AA"/>
    <w:rsid w:val="00A10ACD"/>
    <w:rsid w:val="00A11BD1"/>
    <w:rsid w:val="00A11C9D"/>
    <w:rsid w:val="00A11DCE"/>
    <w:rsid w:val="00A1222E"/>
    <w:rsid w:val="00A12369"/>
    <w:rsid w:val="00A128AC"/>
    <w:rsid w:val="00A12EBF"/>
    <w:rsid w:val="00A13680"/>
    <w:rsid w:val="00A13A9B"/>
    <w:rsid w:val="00A13FBF"/>
    <w:rsid w:val="00A1459E"/>
    <w:rsid w:val="00A146E0"/>
    <w:rsid w:val="00A14903"/>
    <w:rsid w:val="00A14B9A"/>
    <w:rsid w:val="00A14CA1"/>
    <w:rsid w:val="00A150AC"/>
    <w:rsid w:val="00A158D4"/>
    <w:rsid w:val="00A15966"/>
    <w:rsid w:val="00A1602A"/>
    <w:rsid w:val="00A16346"/>
    <w:rsid w:val="00A178B6"/>
    <w:rsid w:val="00A204BD"/>
    <w:rsid w:val="00A21363"/>
    <w:rsid w:val="00A21983"/>
    <w:rsid w:val="00A221DD"/>
    <w:rsid w:val="00A223B1"/>
    <w:rsid w:val="00A23B89"/>
    <w:rsid w:val="00A23F0A"/>
    <w:rsid w:val="00A24211"/>
    <w:rsid w:val="00A24596"/>
    <w:rsid w:val="00A2482B"/>
    <w:rsid w:val="00A249A6"/>
    <w:rsid w:val="00A24D9E"/>
    <w:rsid w:val="00A256A1"/>
    <w:rsid w:val="00A2630D"/>
    <w:rsid w:val="00A267EF"/>
    <w:rsid w:val="00A26BC3"/>
    <w:rsid w:val="00A27828"/>
    <w:rsid w:val="00A27899"/>
    <w:rsid w:val="00A27946"/>
    <w:rsid w:val="00A27BA5"/>
    <w:rsid w:val="00A27EC7"/>
    <w:rsid w:val="00A308AA"/>
    <w:rsid w:val="00A309EE"/>
    <w:rsid w:val="00A315CA"/>
    <w:rsid w:val="00A31862"/>
    <w:rsid w:val="00A32A4F"/>
    <w:rsid w:val="00A32EDB"/>
    <w:rsid w:val="00A3314B"/>
    <w:rsid w:val="00A33C79"/>
    <w:rsid w:val="00A34058"/>
    <w:rsid w:val="00A34198"/>
    <w:rsid w:val="00A348AE"/>
    <w:rsid w:val="00A34E74"/>
    <w:rsid w:val="00A353B1"/>
    <w:rsid w:val="00A363F2"/>
    <w:rsid w:val="00A3694C"/>
    <w:rsid w:val="00A36E84"/>
    <w:rsid w:val="00A36FD7"/>
    <w:rsid w:val="00A37580"/>
    <w:rsid w:val="00A37818"/>
    <w:rsid w:val="00A40773"/>
    <w:rsid w:val="00A41090"/>
    <w:rsid w:val="00A41505"/>
    <w:rsid w:val="00A419E4"/>
    <w:rsid w:val="00A42C69"/>
    <w:rsid w:val="00A4336F"/>
    <w:rsid w:val="00A435DC"/>
    <w:rsid w:val="00A437EB"/>
    <w:rsid w:val="00A4493D"/>
    <w:rsid w:val="00A44D6B"/>
    <w:rsid w:val="00A45B2D"/>
    <w:rsid w:val="00A45FE7"/>
    <w:rsid w:val="00A46535"/>
    <w:rsid w:val="00A46967"/>
    <w:rsid w:val="00A469D4"/>
    <w:rsid w:val="00A470E5"/>
    <w:rsid w:val="00A472B4"/>
    <w:rsid w:val="00A47498"/>
    <w:rsid w:val="00A47902"/>
    <w:rsid w:val="00A50104"/>
    <w:rsid w:val="00A506EF"/>
    <w:rsid w:val="00A512A9"/>
    <w:rsid w:val="00A523A1"/>
    <w:rsid w:val="00A523BF"/>
    <w:rsid w:val="00A52F74"/>
    <w:rsid w:val="00A541A4"/>
    <w:rsid w:val="00A54D31"/>
    <w:rsid w:val="00A5564C"/>
    <w:rsid w:val="00A559B1"/>
    <w:rsid w:val="00A560DC"/>
    <w:rsid w:val="00A569EE"/>
    <w:rsid w:val="00A56C5D"/>
    <w:rsid w:val="00A57109"/>
    <w:rsid w:val="00A5711D"/>
    <w:rsid w:val="00A5765C"/>
    <w:rsid w:val="00A57DB3"/>
    <w:rsid w:val="00A601F3"/>
    <w:rsid w:val="00A609DF"/>
    <w:rsid w:val="00A613E7"/>
    <w:rsid w:val="00A61A1C"/>
    <w:rsid w:val="00A621DD"/>
    <w:rsid w:val="00A630DF"/>
    <w:rsid w:val="00A631D0"/>
    <w:rsid w:val="00A63A92"/>
    <w:rsid w:val="00A63D69"/>
    <w:rsid w:val="00A642A7"/>
    <w:rsid w:val="00A64D08"/>
    <w:rsid w:val="00A65DE8"/>
    <w:rsid w:val="00A65E51"/>
    <w:rsid w:val="00A6613A"/>
    <w:rsid w:val="00A6619C"/>
    <w:rsid w:val="00A665B3"/>
    <w:rsid w:val="00A669D0"/>
    <w:rsid w:val="00A66F73"/>
    <w:rsid w:val="00A670D5"/>
    <w:rsid w:val="00A67432"/>
    <w:rsid w:val="00A67571"/>
    <w:rsid w:val="00A67665"/>
    <w:rsid w:val="00A6773C"/>
    <w:rsid w:val="00A706BD"/>
    <w:rsid w:val="00A7113D"/>
    <w:rsid w:val="00A71F04"/>
    <w:rsid w:val="00A72151"/>
    <w:rsid w:val="00A72508"/>
    <w:rsid w:val="00A74A20"/>
    <w:rsid w:val="00A74D22"/>
    <w:rsid w:val="00A76081"/>
    <w:rsid w:val="00A77042"/>
    <w:rsid w:val="00A77F97"/>
    <w:rsid w:val="00A80E99"/>
    <w:rsid w:val="00A810C0"/>
    <w:rsid w:val="00A82281"/>
    <w:rsid w:val="00A83BE2"/>
    <w:rsid w:val="00A843F6"/>
    <w:rsid w:val="00A84642"/>
    <w:rsid w:val="00A846E9"/>
    <w:rsid w:val="00A849EA"/>
    <w:rsid w:val="00A84B17"/>
    <w:rsid w:val="00A84CCB"/>
    <w:rsid w:val="00A85212"/>
    <w:rsid w:val="00A85603"/>
    <w:rsid w:val="00A8588C"/>
    <w:rsid w:val="00A86212"/>
    <w:rsid w:val="00A86486"/>
    <w:rsid w:val="00A86657"/>
    <w:rsid w:val="00A9023D"/>
    <w:rsid w:val="00A906AF"/>
    <w:rsid w:val="00A90D06"/>
    <w:rsid w:val="00A921CB"/>
    <w:rsid w:val="00A926B5"/>
    <w:rsid w:val="00A927F5"/>
    <w:rsid w:val="00A93C42"/>
    <w:rsid w:val="00A93DB4"/>
    <w:rsid w:val="00A94CDA"/>
    <w:rsid w:val="00A95BF8"/>
    <w:rsid w:val="00A970EB"/>
    <w:rsid w:val="00A977A0"/>
    <w:rsid w:val="00AA0A2A"/>
    <w:rsid w:val="00AA109B"/>
    <w:rsid w:val="00AA1362"/>
    <w:rsid w:val="00AA237F"/>
    <w:rsid w:val="00AA2732"/>
    <w:rsid w:val="00AA2D94"/>
    <w:rsid w:val="00AA3C6E"/>
    <w:rsid w:val="00AA47BE"/>
    <w:rsid w:val="00AA54C8"/>
    <w:rsid w:val="00AA59CD"/>
    <w:rsid w:val="00AA6975"/>
    <w:rsid w:val="00AA7091"/>
    <w:rsid w:val="00AB0732"/>
    <w:rsid w:val="00AB09E2"/>
    <w:rsid w:val="00AB171D"/>
    <w:rsid w:val="00AB1E4C"/>
    <w:rsid w:val="00AB224F"/>
    <w:rsid w:val="00AB26C2"/>
    <w:rsid w:val="00AB36AB"/>
    <w:rsid w:val="00AB3CB2"/>
    <w:rsid w:val="00AB599D"/>
    <w:rsid w:val="00AB5B01"/>
    <w:rsid w:val="00AB5C55"/>
    <w:rsid w:val="00AB5EC2"/>
    <w:rsid w:val="00AB5F3E"/>
    <w:rsid w:val="00AB5F83"/>
    <w:rsid w:val="00AB7098"/>
    <w:rsid w:val="00AB71D0"/>
    <w:rsid w:val="00AB794F"/>
    <w:rsid w:val="00AB79AC"/>
    <w:rsid w:val="00AC00E4"/>
    <w:rsid w:val="00AC0A03"/>
    <w:rsid w:val="00AC0A50"/>
    <w:rsid w:val="00AC0D42"/>
    <w:rsid w:val="00AC154F"/>
    <w:rsid w:val="00AC17A3"/>
    <w:rsid w:val="00AC1D1A"/>
    <w:rsid w:val="00AC1E6C"/>
    <w:rsid w:val="00AC20BF"/>
    <w:rsid w:val="00AC23C2"/>
    <w:rsid w:val="00AC278A"/>
    <w:rsid w:val="00AC2B39"/>
    <w:rsid w:val="00AC2D8E"/>
    <w:rsid w:val="00AC2F92"/>
    <w:rsid w:val="00AC3160"/>
    <w:rsid w:val="00AC408F"/>
    <w:rsid w:val="00AC4375"/>
    <w:rsid w:val="00AC4541"/>
    <w:rsid w:val="00AC4BA8"/>
    <w:rsid w:val="00AC5CC2"/>
    <w:rsid w:val="00AC5FAF"/>
    <w:rsid w:val="00AC6470"/>
    <w:rsid w:val="00AC6829"/>
    <w:rsid w:val="00AC6D79"/>
    <w:rsid w:val="00AC6FCA"/>
    <w:rsid w:val="00AC7DB1"/>
    <w:rsid w:val="00AD09CB"/>
    <w:rsid w:val="00AD0AB0"/>
    <w:rsid w:val="00AD0B4E"/>
    <w:rsid w:val="00AD0E8E"/>
    <w:rsid w:val="00AD17F9"/>
    <w:rsid w:val="00AD1A15"/>
    <w:rsid w:val="00AD2731"/>
    <w:rsid w:val="00AD2D6A"/>
    <w:rsid w:val="00AD41FD"/>
    <w:rsid w:val="00AD5644"/>
    <w:rsid w:val="00AD572C"/>
    <w:rsid w:val="00AD5D5D"/>
    <w:rsid w:val="00AD6062"/>
    <w:rsid w:val="00AD6514"/>
    <w:rsid w:val="00AD6677"/>
    <w:rsid w:val="00AD68E1"/>
    <w:rsid w:val="00AD7476"/>
    <w:rsid w:val="00AD799D"/>
    <w:rsid w:val="00AD7A1B"/>
    <w:rsid w:val="00AD7C35"/>
    <w:rsid w:val="00AE0320"/>
    <w:rsid w:val="00AE09BC"/>
    <w:rsid w:val="00AE0E2A"/>
    <w:rsid w:val="00AE12F2"/>
    <w:rsid w:val="00AE206C"/>
    <w:rsid w:val="00AE288B"/>
    <w:rsid w:val="00AE2FB8"/>
    <w:rsid w:val="00AE2FF9"/>
    <w:rsid w:val="00AE3388"/>
    <w:rsid w:val="00AE3B99"/>
    <w:rsid w:val="00AE4A56"/>
    <w:rsid w:val="00AE5E22"/>
    <w:rsid w:val="00AE676A"/>
    <w:rsid w:val="00AE7368"/>
    <w:rsid w:val="00AF0113"/>
    <w:rsid w:val="00AF022E"/>
    <w:rsid w:val="00AF099F"/>
    <w:rsid w:val="00AF11A6"/>
    <w:rsid w:val="00AF1998"/>
    <w:rsid w:val="00AF28B9"/>
    <w:rsid w:val="00AF2949"/>
    <w:rsid w:val="00AF2A86"/>
    <w:rsid w:val="00AF2BD8"/>
    <w:rsid w:val="00AF2E22"/>
    <w:rsid w:val="00AF3E62"/>
    <w:rsid w:val="00AF4BCF"/>
    <w:rsid w:val="00AF4D8E"/>
    <w:rsid w:val="00AF563A"/>
    <w:rsid w:val="00AF5BA4"/>
    <w:rsid w:val="00AF5DEB"/>
    <w:rsid w:val="00AF648F"/>
    <w:rsid w:val="00AF6548"/>
    <w:rsid w:val="00AF6A22"/>
    <w:rsid w:val="00AF6CD1"/>
    <w:rsid w:val="00AF7255"/>
    <w:rsid w:val="00AF77B1"/>
    <w:rsid w:val="00AF7E9B"/>
    <w:rsid w:val="00B00791"/>
    <w:rsid w:val="00B007C0"/>
    <w:rsid w:val="00B0332D"/>
    <w:rsid w:val="00B03464"/>
    <w:rsid w:val="00B035E9"/>
    <w:rsid w:val="00B037A9"/>
    <w:rsid w:val="00B03EB3"/>
    <w:rsid w:val="00B04545"/>
    <w:rsid w:val="00B04AB3"/>
    <w:rsid w:val="00B05E93"/>
    <w:rsid w:val="00B06048"/>
    <w:rsid w:val="00B0769E"/>
    <w:rsid w:val="00B07884"/>
    <w:rsid w:val="00B105F1"/>
    <w:rsid w:val="00B10837"/>
    <w:rsid w:val="00B10A7E"/>
    <w:rsid w:val="00B10BF4"/>
    <w:rsid w:val="00B119A0"/>
    <w:rsid w:val="00B11C76"/>
    <w:rsid w:val="00B12DE5"/>
    <w:rsid w:val="00B12DE9"/>
    <w:rsid w:val="00B12DFE"/>
    <w:rsid w:val="00B149CC"/>
    <w:rsid w:val="00B152E5"/>
    <w:rsid w:val="00B153AC"/>
    <w:rsid w:val="00B156F2"/>
    <w:rsid w:val="00B16E73"/>
    <w:rsid w:val="00B16FAB"/>
    <w:rsid w:val="00B20086"/>
    <w:rsid w:val="00B20409"/>
    <w:rsid w:val="00B20732"/>
    <w:rsid w:val="00B20979"/>
    <w:rsid w:val="00B21366"/>
    <w:rsid w:val="00B21584"/>
    <w:rsid w:val="00B21860"/>
    <w:rsid w:val="00B21EA0"/>
    <w:rsid w:val="00B21FA9"/>
    <w:rsid w:val="00B22392"/>
    <w:rsid w:val="00B22561"/>
    <w:rsid w:val="00B22CFB"/>
    <w:rsid w:val="00B22E18"/>
    <w:rsid w:val="00B242DF"/>
    <w:rsid w:val="00B244B3"/>
    <w:rsid w:val="00B2463B"/>
    <w:rsid w:val="00B24D06"/>
    <w:rsid w:val="00B24FFA"/>
    <w:rsid w:val="00B26DED"/>
    <w:rsid w:val="00B26EE8"/>
    <w:rsid w:val="00B26FFE"/>
    <w:rsid w:val="00B27278"/>
    <w:rsid w:val="00B2727E"/>
    <w:rsid w:val="00B27A97"/>
    <w:rsid w:val="00B27FC3"/>
    <w:rsid w:val="00B306F8"/>
    <w:rsid w:val="00B307CD"/>
    <w:rsid w:val="00B30B41"/>
    <w:rsid w:val="00B30E32"/>
    <w:rsid w:val="00B30F39"/>
    <w:rsid w:val="00B314A6"/>
    <w:rsid w:val="00B33273"/>
    <w:rsid w:val="00B33DD6"/>
    <w:rsid w:val="00B34321"/>
    <w:rsid w:val="00B34BE5"/>
    <w:rsid w:val="00B34D14"/>
    <w:rsid w:val="00B35AEE"/>
    <w:rsid w:val="00B35B78"/>
    <w:rsid w:val="00B35CD7"/>
    <w:rsid w:val="00B36149"/>
    <w:rsid w:val="00B365B5"/>
    <w:rsid w:val="00B366E8"/>
    <w:rsid w:val="00B36FF8"/>
    <w:rsid w:val="00B37264"/>
    <w:rsid w:val="00B4062F"/>
    <w:rsid w:val="00B40E10"/>
    <w:rsid w:val="00B4133D"/>
    <w:rsid w:val="00B41777"/>
    <w:rsid w:val="00B41A64"/>
    <w:rsid w:val="00B42E0A"/>
    <w:rsid w:val="00B42E91"/>
    <w:rsid w:val="00B43D10"/>
    <w:rsid w:val="00B4419C"/>
    <w:rsid w:val="00B44378"/>
    <w:rsid w:val="00B445F3"/>
    <w:rsid w:val="00B44B25"/>
    <w:rsid w:val="00B4507C"/>
    <w:rsid w:val="00B4633E"/>
    <w:rsid w:val="00B46BC3"/>
    <w:rsid w:val="00B46EDA"/>
    <w:rsid w:val="00B474D0"/>
    <w:rsid w:val="00B478D0"/>
    <w:rsid w:val="00B47AE5"/>
    <w:rsid w:val="00B50968"/>
    <w:rsid w:val="00B50BBE"/>
    <w:rsid w:val="00B50EDF"/>
    <w:rsid w:val="00B51565"/>
    <w:rsid w:val="00B51A21"/>
    <w:rsid w:val="00B51DF4"/>
    <w:rsid w:val="00B51FE4"/>
    <w:rsid w:val="00B52241"/>
    <w:rsid w:val="00B52C1B"/>
    <w:rsid w:val="00B5344A"/>
    <w:rsid w:val="00B53450"/>
    <w:rsid w:val="00B53AF4"/>
    <w:rsid w:val="00B540F7"/>
    <w:rsid w:val="00B54393"/>
    <w:rsid w:val="00B54E47"/>
    <w:rsid w:val="00B54FAF"/>
    <w:rsid w:val="00B5527C"/>
    <w:rsid w:val="00B5675A"/>
    <w:rsid w:val="00B571F9"/>
    <w:rsid w:val="00B609E7"/>
    <w:rsid w:val="00B60F6E"/>
    <w:rsid w:val="00B613B6"/>
    <w:rsid w:val="00B61595"/>
    <w:rsid w:val="00B61DF4"/>
    <w:rsid w:val="00B62183"/>
    <w:rsid w:val="00B6233C"/>
    <w:rsid w:val="00B62640"/>
    <w:rsid w:val="00B62FE4"/>
    <w:rsid w:val="00B630DC"/>
    <w:rsid w:val="00B6378B"/>
    <w:rsid w:val="00B63A8D"/>
    <w:rsid w:val="00B642C3"/>
    <w:rsid w:val="00B64605"/>
    <w:rsid w:val="00B65945"/>
    <w:rsid w:val="00B6594B"/>
    <w:rsid w:val="00B659E7"/>
    <w:rsid w:val="00B65E27"/>
    <w:rsid w:val="00B667D8"/>
    <w:rsid w:val="00B67119"/>
    <w:rsid w:val="00B6789A"/>
    <w:rsid w:val="00B67CA3"/>
    <w:rsid w:val="00B67D9A"/>
    <w:rsid w:val="00B67E85"/>
    <w:rsid w:val="00B70357"/>
    <w:rsid w:val="00B70733"/>
    <w:rsid w:val="00B70911"/>
    <w:rsid w:val="00B70EA6"/>
    <w:rsid w:val="00B70EC3"/>
    <w:rsid w:val="00B70F38"/>
    <w:rsid w:val="00B71161"/>
    <w:rsid w:val="00B713AF"/>
    <w:rsid w:val="00B719FD"/>
    <w:rsid w:val="00B7299C"/>
    <w:rsid w:val="00B72EC0"/>
    <w:rsid w:val="00B739A5"/>
    <w:rsid w:val="00B74694"/>
    <w:rsid w:val="00B74A3B"/>
    <w:rsid w:val="00B7556C"/>
    <w:rsid w:val="00B7592F"/>
    <w:rsid w:val="00B7647D"/>
    <w:rsid w:val="00B766A2"/>
    <w:rsid w:val="00B76ADF"/>
    <w:rsid w:val="00B76B6D"/>
    <w:rsid w:val="00B76D02"/>
    <w:rsid w:val="00B76DAB"/>
    <w:rsid w:val="00B77D10"/>
    <w:rsid w:val="00B77DDD"/>
    <w:rsid w:val="00B803C0"/>
    <w:rsid w:val="00B804E7"/>
    <w:rsid w:val="00B8050B"/>
    <w:rsid w:val="00B8066E"/>
    <w:rsid w:val="00B80C23"/>
    <w:rsid w:val="00B80EC6"/>
    <w:rsid w:val="00B820A0"/>
    <w:rsid w:val="00B83155"/>
    <w:rsid w:val="00B83881"/>
    <w:rsid w:val="00B838ED"/>
    <w:rsid w:val="00B839A9"/>
    <w:rsid w:val="00B83B0C"/>
    <w:rsid w:val="00B842C7"/>
    <w:rsid w:val="00B84517"/>
    <w:rsid w:val="00B84631"/>
    <w:rsid w:val="00B84673"/>
    <w:rsid w:val="00B8508A"/>
    <w:rsid w:val="00B85D9B"/>
    <w:rsid w:val="00B872F8"/>
    <w:rsid w:val="00B873A0"/>
    <w:rsid w:val="00B87719"/>
    <w:rsid w:val="00B8793B"/>
    <w:rsid w:val="00B87C1C"/>
    <w:rsid w:val="00B90206"/>
    <w:rsid w:val="00B904AE"/>
    <w:rsid w:val="00B909C4"/>
    <w:rsid w:val="00B90EDC"/>
    <w:rsid w:val="00B91B87"/>
    <w:rsid w:val="00B92019"/>
    <w:rsid w:val="00B92EE9"/>
    <w:rsid w:val="00B9314E"/>
    <w:rsid w:val="00B9317E"/>
    <w:rsid w:val="00B9352B"/>
    <w:rsid w:val="00B93690"/>
    <w:rsid w:val="00B93F47"/>
    <w:rsid w:val="00B947CB"/>
    <w:rsid w:val="00B94ED2"/>
    <w:rsid w:val="00B9515E"/>
    <w:rsid w:val="00B95D17"/>
    <w:rsid w:val="00B96489"/>
    <w:rsid w:val="00B96BFC"/>
    <w:rsid w:val="00B97683"/>
    <w:rsid w:val="00B97A92"/>
    <w:rsid w:val="00B97A9A"/>
    <w:rsid w:val="00BA07A1"/>
    <w:rsid w:val="00BA0E6C"/>
    <w:rsid w:val="00BA0F1A"/>
    <w:rsid w:val="00BA262C"/>
    <w:rsid w:val="00BA2873"/>
    <w:rsid w:val="00BA2C58"/>
    <w:rsid w:val="00BA3149"/>
    <w:rsid w:val="00BA360D"/>
    <w:rsid w:val="00BA37E2"/>
    <w:rsid w:val="00BA398C"/>
    <w:rsid w:val="00BA411F"/>
    <w:rsid w:val="00BA4885"/>
    <w:rsid w:val="00BA488E"/>
    <w:rsid w:val="00BA4AF5"/>
    <w:rsid w:val="00BA5198"/>
    <w:rsid w:val="00BA5B65"/>
    <w:rsid w:val="00BA5D9C"/>
    <w:rsid w:val="00BA65FA"/>
    <w:rsid w:val="00BA6A2C"/>
    <w:rsid w:val="00BA6AD6"/>
    <w:rsid w:val="00BA74D7"/>
    <w:rsid w:val="00BA7691"/>
    <w:rsid w:val="00BA77BD"/>
    <w:rsid w:val="00BA799B"/>
    <w:rsid w:val="00BB05B0"/>
    <w:rsid w:val="00BB0835"/>
    <w:rsid w:val="00BB11DE"/>
    <w:rsid w:val="00BB124A"/>
    <w:rsid w:val="00BB1440"/>
    <w:rsid w:val="00BB1C75"/>
    <w:rsid w:val="00BB318C"/>
    <w:rsid w:val="00BB3425"/>
    <w:rsid w:val="00BB3445"/>
    <w:rsid w:val="00BB3F6C"/>
    <w:rsid w:val="00BB4345"/>
    <w:rsid w:val="00BB441B"/>
    <w:rsid w:val="00BB4421"/>
    <w:rsid w:val="00BB49FE"/>
    <w:rsid w:val="00BB4AF5"/>
    <w:rsid w:val="00BB50C9"/>
    <w:rsid w:val="00BB736F"/>
    <w:rsid w:val="00BC0760"/>
    <w:rsid w:val="00BC0B5F"/>
    <w:rsid w:val="00BC1016"/>
    <w:rsid w:val="00BC22B3"/>
    <w:rsid w:val="00BC22EF"/>
    <w:rsid w:val="00BC2B1C"/>
    <w:rsid w:val="00BC304C"/>
    <w:rsid w:val="00BC45E0"/>
    <w:rsid w:val="00BC5F76"/>
    <w:rsid w:val="00BC625E"/>
    <w:rsid w:val="00BC644E"/>
    <w:rsid w:val="00BC6631"/>
    <w:rsid w:val="00BC692B"/>
    <w:rsid w:val="00BC6A69"/>
    <w:rsid w:val="00BC7079"/>
    <w:rsid w:val="00BC781C"/>
    <w:rsid w:val="00BC7D94"/>
    <w:rsid w:val="00BC7F99"/>
    <w:rsid w:val="00BD046A"/>
    <w:rsid w:val="00BD068C"/>
    <w:rsid w:val="00BD0E23"/>
    <w:rsid w:val="00BD1370"/>
    <w:rsid w:val="00BD1573"/>
    <w:rsid w:val="00BD281C"/>
    <w:rsid w:val="00BD2E3A"/>
    <w:rsid w:val="00BD34F8"/>
    <w:rsid w:val="00BD39C8"/>
    <w:rsid w:val="00BD3AEE"/>
    <w:rsid w:val="00BD3C6F"/>
    <w:rsid w:val="00BD3F22"/>
    <w:rsid w:val="00BD465B"/>
    <w:rsid w:val="00BD47B5"/>
    <w:rsid w:val="00BD5061"/>
    <w:rsid w:val="00BD5879"/>
    <w:rsid w:val="00BD6681"/>
    <w:rsid w:val="00BD66AE"/>
    <w:rsid w:val="00BD716F"/>
    <w:rsid w:val="00BD7546"/>
    <w:rsid w:val="00BD7996"/>
    <w:rsid w:val="00BE00F5"/>
    <w:rsid w:val="00BE08B9"/>
    <w:rsid w:val="00BE156D"/>
    <w:rsid w:val="00BE1927"/>
    <w:rsid w:val="00BE2353"/>
    <w:rsid w:val="00BE24AE"/>
    <w:rsid w:val="00BE2BE9"/>
    <w:rsid w:val="00BE2DB3"/>
    <w:rsid w:val="00BE3CFA"/>
    <w:rsid w:val="00BE4406"/>
    <w:rsid w:val="00BE515B"/>
    <w:rsid w:val="00BE587F"/>
    <w:rsid w:val="00BE5F95"/>
    <w:rsid w:val="00BE651E"/>
    <w:rsid w:val="00BE668E"/>
    <w:rsid w:val="00BE6B80"/>
    <w:rsid w:val="00BE732C"/>
    <w:rsid w:val="00BE7663"/>
    <w:rsid w:val="00BF0692"/>
    <w:rsid w:val="00BF0DF6"/>
    <w:rsid w:val="00BF0F31"/>
    <w:rsid w:val="00BF2083"/>
    <w:rsid w:val="00BF20CE"/>
    <w:rsid w:val="00BF3618"/>
    <w:rsid w:val="00BF455C"/>
    <w:rsid w:val="00BF4876"/>
    <w:rsid w:val="00BF4A91"/>
    <w:rsid w:val="00BF4A96"/>
    <w:rsid w:val="00BF4CB0"/>
    <w:rsid w:val="00BF53DC"/>
    <w:rsid w:val="00BF571F"/>
    <w:rsid w:val="00BF6FDE"/>
    <w:rsid w:val="00BF715C"/>
    <w:rsid w:val="00BF7FC6"/>
    <w:rsid w:val="00C00B67"/>
    <w:rsid w:val="00C00CFA"/>
    <w:rsid w:val="00C01CB3"/>
    <w:rsid w:val="00C027E2"/>
    <w:rsid w:val="00C02B47"/>
    <w:rsid w:val="00C03D07"/>
    <w:rsid w:val="00C057EE"/>
    <w:rsid w:val="00C0634E"/>
    <w:rsid w:val="00C07698"/>
    <w:rsid w:val="00C07CEF"/>
    <w:rsid w:val="00C10324"/>
    <w:rsid w:val="00C10646"/>
    <w:rsid w:val="00C1070C"/>
    <w:rsid w:val="00C10C9D"/>
    <w:rsid w:val="00C114A5"/>
    <w:rsid w:val="00C11A36"/>
    <w:rsid w:val="00C135C7"/>
    <w:rsid w:val="00C13787"/>
    <w:rsid w:val="00C149D6"/>
    <w:rsid w:val="00C14CBF"/>
    <w:rsid w:val="00C158D9"/>
    <w:rsid w:val="00C15AE6"/>
    <w:rsid w:val="00C16409"/>
    <w:rsid w:val="00C169CC"/>
    <w:rsid w:val="00C16BE1"/>
    <w:rsid w:val="00C16D8B"/>
    <w:rsid w:val="00C17933"/>
    <w:rsid w:val="00C17C13"/>
    <w:rsid w:val="00C17C53"/>
    <w:rsid w:val="00C17CE7"/>
    <w:rsid w:val="00C17FB9"/>
    <w:rsid w:val="00C20B06"/>
    <w:rsid w:val="00C21371"/>
    <w:rsid w:val="00C21673"/>
    <w:rsid w:val="00C220E8"/>
    <w:rsid w:val="00C23F36"/>
    <w:rsid w:val="00C241D8"/>
    <w:rsid w:val="00C242DB"/>
    <w:rsid w:val="00C24A9B"/>
    <w:rsid w:val="00C259CE"/>
    <w:rsid w:val="00C25BAE"/>
    <w:rsid w:val="00C261B8"/>
    <w:rsid w:val="00C26DA2"/>
    <w:rsid w:val="00C2769E"/>
    <w:rsid w:val="00C27768"/>
    <w:rsid w:val="00C277CA"/>
    <w:rsid w:val="00C27A9F"/>
    <w:rsid w:val="00C30DE4"/>
    <w:rsid w:val="00C30F17"/>
    <w:rsid w:val="00C32008"/>
    <w:rsid w:val="00C32936"/>
    <w:rsid w:val="00C33AA4"/>
    <w:rsid w:val="00C34210"/>
    <w:rsid w:val="00C34546"/>
    <w:rsid w:val="00C3497C"/>
    <w:rsid w:val="00C34E28"/>
    <w:rsid w:val="00C34EEC"/>
    <w:rsid w:val="00C357BB"/>
    <w:rsid w:val="00C35A01"/>
    <w:rsid w:val="00C36096"/>
    <w:rsid w:val="00C36573"/>
    <w:rsid w:val="00C368A0"/>
    <w:rsid w:val="00C370BA"/>
    <w:rsid w:val="00C37B59"/>
    <w:rsid w:val="00C37F2F"/>
    <w:rsid w:val="00C401C9"/>
    <w:rsid w:val="00C40324"/>
    <w:rsid w:val="00C40598"/>
    <w:rsid w:val="00C41105"/>
    <w:rsid w:val="00C412C9"/>
    <w:rsid w:val="00C424B7"/>
    <w:rsid w:val="00C432FB"/>
    <w:rsid w:val="00C435C8"/>
    <w:rsid w:val="00C43D0E"/>
    <w:rsid w:val="00C43D58"/>
    <w:rsid w:val="00C43D8B"/>
    <w:rsid w:val="00C443A0"/>
    <w:rsid w:val="00C44517"/>
    <w:rsid w:val="00C44771"/>
    <w:rsid w:val="00C448FB"/>
    <w:rsid w:val="00C45870"/>
    <w:rsid w:val="00C45DF9"/>
    <w:rsid w:val="00C47B12"/>
    <w:rsid w:val="00C47C8D"/>
    <w:rsid w:val="00C50A89"/>
    <w:rsid w:val="00C50B2C"/>
    <w:rsid w:val="00C5189D"/>
    <w:rsid w:val="00C521B8"/>
    <w:rsid w:val="00C525BA"/>
    <w:rsid w:val="00C5484F"/>
    <w:rsid w:val="00C54E27"/>
    <w:rsid w:val="00C5561F"/>
    <w:rsid w:val="00C562B3"/>
    <w:rsid w:val="00C5649A"/>
    <w:rsid w:val="00C56856"/>
    <w:rsid w:val="00C5695D"/>
    <w:rsid w:val="00C56BDE"/>
    <w:rsid w:val="00C56F54"/>
    <w:rsid w:val="00C574ED"/>
    <w:rsid w:val="00C57EFA"/>
    <w:rsid w:val="00C6068B"/>
    <w:rsid w:val="00C616A8"/>
    <w:rsid w:val="00C616D7"/>
    <w:rsid w:val="00C61930"/>
    <w:rsid w:val="00C61AE6"/>
    <w:rsid w:val="00C61F09"/>
    <w:rsid w:val="00C61F56"/>
    <w:rsid w:val="00C626CC"/>
    <w:rsid w:val="00C62B44"/>
    <w:rsid w:val="00C633A0"/>
    <w:rsid w:val="00C634D3"/>
    <w:rsid w:val="00C644C9"/>
    <w:rsid w:val="00C645B8"/>
    <w:rsid w:val="00C64620"/>
    <w:rsid w:val="00C6584A"/>
    <w:rsid w:val="00C66569"/>
    <w:rsid w:val="00C66757"/>
    <w:rsid w:val="00C66947"/>
    <w:rsid w:val="00C67002"/>
    <w:rsid w:val="00C67145"/>
    <w:rsid w:val="00C676FC"/>
    <w:rsid w:val="00C67D69"/>
    <w:rsid w:val="00C70848"/>
    <w:rsid w:val="00C71570"/>
    <w:rsid w:val="00C71614"/>
    <w:rsid w:val="00C71E2D"/>
    <w:rsid w:val="00C728B2"/>
    <w:rsid w:val="00C72ADC"/>
    <w:rsid w:val="00C72D7E"/>
    <w:rsid w:val="00C730AF"/>
    <w:rsid w:val="00C739D9"/>
    <w:rsid w:val="00C7433B"/>
    <w:rsid w:val="00C74841"/>
    <w:rsid w:val="00C74A18"/>
    <w:rsid w:val="00C74C6E"/>
    <w:rsid w:val="00C75425"/>
    <w:rsid w:val="00C75698"/>
    <w:rsid w:val="00C75AD3"/>
    <w:rsid w:val="00C75FAC"/>
    <w:rsid w:val="00C81507"/>
    <w:rsid w:val="00C81884"/>
    <w:rsid w:val="00C8194B"/>
    <w:rsid w:val="00C81982"/>
    <w:rsid w:val="00C82104"/>
    <w:rsid w:val="00C8260C"/>
    <w:rsid w:val="00C82669"/>
    <w:rsid w:val="00C832EA"/>
    <w:rsid w:val="00C83958"/>
    <w:rsid w:val="00C84C9E"/>
    <w:rsid w:val="00C84FDD"/>
    <w:rsid w:val="00C8583E"/>
    <w:rsid w:val="00C85B79"/>
    <w:rsid w:val="00C8606C"/>
    <w:rsid w:val="00C86245"/>
    <w:rsid w:val="00C87007"/>
    <w:rsid w:val="00C873EB"/>
    <w:rsid w:val="00C879DE"/>
    <w:rsid w:val="00C87DAC"/>
    <w:rsid w:val="00C90172"/>
    <w:rsid w:val="00C92941"/>
    <w:rsid w:val="00C9303D"/>
    <w:rsid w:val="00C93830"/>
    <w:rsid w:val="00C93E11"/>
    <w:rsid w:val="00C949FA"/>
    <w:rsid w:val="00C94E87"/>
    <w:rsid w:val="00C953F1"/>
    <w:rsid w:val="00C95924"/>
    <w:rsid w:val="00C95FF1"/>
    <w:rsid w:val="00C96579"/>
    <w:rsid w:val="00C96B2E"/>
    <w:rsid w:val="00C97559"/>
    <w:rsid w:val="00CA036B"/>
    <w:rsid w:val="00CA0553"/>
    <w:rsid w:val="00CA0734"/>
    <w:rsid w:val="00CA0D3D"/>
    <w:rsid w:val="00CA10C5"/>
    <w:rsid w:val="00CA1C00"/>
    <w:rsid w:val="00CA2560"/>
    <w:rsid w:val="00CA25B0"/>
    <w:rsid w:val="00CA2A6B"/>
    <w:rsid w:val="00CA3907"/>
    <w:rsid w:val="00CA39B0"/>
    <w:rsid w:val="00CA3BB3"/>
    <w:rsid w:val="00CA3FC2"/>
    <w:rsid w:val="00CA46DC"/>
    <w:rsid w:val="00CA47AF"/>
    <w:rsid w:val="00CA4DBD"/>
    <w:rsid w:val="00CA50C5"/>
    <w:rsid w:val="00CA5AE0"/>
    <w:rsid w:val="00CA5B39"/>
    <w:rsid w:val="00CA707B"/>
    <w:rsid w:val="00CA7707"/>
    <w:rsid w:val="00CB062B"/>
    <w:rsid w:val="00CB0933"/>
    <w:rsid w:val="00CB097F"/>
    <w:rsid w:val="00CB13E4"/>
    <w:rsid w:val="00CB1E2B"/>
    <w:rsid w:val="00CB218A"/>
    <w:rsid w:val="00CB2799"/>
    <w:rsid w:val="00CB2852"/>
    <w:rsid w:val="00CB2A64"/>
    <w:rsid w:val="00CB2B0C"/>
    <w:rsid w:val="00CB2D6E"/>
    <w:rsid w:val="00CB3453"/>
    <w:rsid w:val="00CB366D"/>
    <w:rsid w:val="00CB37CD"/>
    <w:rsid w:val="00CB387A"/>
    <w:rsid w:val="00CB3C09"/>
    <w:rsid w:val="00CB3D17"/>
    <w:rsid w:val="00CB4089"/>
    <w:rsid w:val="00CB4718"/>
    <w:rsid w:val="00CB47D0"/>
    <w:rsid w:val="00CB5BE2"/>
    <w:rsid w:val="00CB5D70"/>
    <w:rsid w:val="00CB76C5"/>
    <w:rsid w:val="00CC0897"/>
    <w:rsid w:val="00CC0A05"/>
    <w:rsid w:val="00CC0E40"/>
    <w:rsid w:val="00CC12BF"/>
    <w:rsid w:val="00CC12CE"/>
    <w:rsid w:val="00CC40CC"/>
    <w:rsid w:val="00CC47D9"/>
    <w:rsid w:val="00CC4815"/>
    <w:rsid w:val="00CC48DB"/>
    <w:rsid w:val="00CC4BB1"/>
    <w:rsid w:val="00CC5D7B"/>
    <w:rsid w:val="00CC6536"/>
    <w:rsid w:val="00CC69C2"/>
    <w:rsid w:val="00CC6AC0"/>
    <w:rsid w:val="00CC6F89"/>
    <w:rsid w:val="00CC7AEE"/>
    <w:rsid w:val="00CD0042"/>
    <w:rsid w:val="00CD026F"/>
    <w:rsid w:val="00CD036E"/>
    <w:rsid w:val="00CD0D9B"/>
    <w:rsid w:val="00CD108F"/>
    <w:rsid w:val="00CD197A"/>
    <w:rsid w:val="00CD21E7"/>
    <w:rsid w:val="00CD2200"/>
    <w:rsid w:val="00CD3233"/>
    <w:rsid w:val="00CD3286"/>
    <w:rsid w:val="00CD3465"/>
    <w:rsid w:val="00CD38F1"/>
    <w:rsid w:val="00CD3AA0"/>
    <w:rsid w:val="00CD438E"/>
    <w:rsid w:val="00CD5240"/>
    <w:rsid w:val="00CD547A"/>
    <w:rsid w:val="00CD54C2"/>
    <w:rsid w:val="00CD5554"/>
    <w:rsid w:val="00CD5EEB"/>
    <w:rsid w:val="00CD6A36"/>
    <w:rsid w:val="00CD6D7D"/>
    <w:rsid w:val="00CD771A"/>
    <w:rsid w:val="00CD778D"/>
    <w:rsid w:val="00CE0458"/>
    <w:rsid w:val="00CE13C2"/>
    <w:rsid w:val="00CE2562"/>
    <w:rsid w:val="00CE2CC5"/>
    <w:rsid w:val="00CE3464"/>
    <w:rsid w:val="00CE36E1"/>
    <w:rsid w:val="00CE3797"/>
    <w:rsid w:val="00CE37C5"/>
    <w:rsid w:val="00CE4BB8"/>
    <w:rsid w:val="00CE4D22"/>
    <w:rsid w:val="00CE5CD8"/>
    <w:rsid w:val="00CE5E1C"/>
    <w:rsid w:val="00CE61B8"/>
    <w:rsid w:val="00CE6C63"/>
    <w:rsid w:val="00CE7202"/>
    <w:rsid w:val="00CF04F5"/>
    <w:rsid w:val="00CF075F"/>
    <w:rsid w:val="00CF0E2C"/>
    <w:rsid w:val="00CF1A92"/>
    <w:rsid w:val="00CF2B4F"/>
    <w:rsid w:val="00CF2B58"/>
    <w:rsid w:val="00CF30C5"/>
    <w:rsid w:val="00CF41ED"/>
    <w:rsid w:val="00CF4B6D"/>
    <w:rsid w:val="00CF4FEA"/>
    <w:rsid w:val="00CF5310"/>
    <w:rsid w:val="00CF5590"/>
    <w:rsid w:val="00CF5725"/>
    <w:rsid w:val="00CF573C"/>
    <w:rsid w:val="00CF5791"/>
    <w:rsid w:val="00CF697D"/>
    <w:rsid w:val="00CF7309"/>
    <w:rsid w:val="00D00046"/>
    <w:rsid w:val="00D0063D"/>
    <w:rsid w:val="00D008FC"/>
    <w:rsid w:val="00D01580"/>
    <w:rsid w:val="00D02AB0"/>
    <w:rsid w:val="00D034E2"/>
    <w:rsid w:val="00D04287"/>
    <w:rsid w:val="00D04642"/>
    <w:rsid w:val="00D05C62"/>
    <w:rsid w:val="00D06354"/>
    <w:rsid w:val="00D069A8"/>
    <w:rsid w:val="00D074D5"/>
    <w:rsid w:val="00D07B79"/>
    <w:rsid w:val="00D1047C"/>
    <w:rsid w:val="00D10CE8"/>
    <w:rsid w:val="00D116CB"/>
    <w:rsid w:val="00D11A9C"/>
    <w:rsid w:val="00D126CD"/>
    <w:rsid w:val="00D12714"/>
    <w:rsid w:val="00D12CC0"/>
    <w:rsid w:val="00D133FA"/>
    <w:rsid w:val="00D13D91"/>
    <w:rsid w:val="00D15C21"/>
    <w:rsid w:val="00D16706"/>
    <w:rsid w:val="00D167D8"/>
    <w:rsid w:val="00D16EF5"/>
    <w:rsid w:val="00D20218"/>
    <w:rsid w:val="00D20D62"/>
    <w:rsid w:val="00D216F5"/>
    <w:rsid w:val="00D21DDA"/>
    <w:rsid w:val="00D227BD"/>
    <w:rsid w:val="00D235DF"/>
    <w:rsid w:val="00D24192"/>
    <w:rsid w:val="00D24442"/>
    <w:rsid w:val="00D24953"/>
    <w:rsid w:val="00D24E37"/>
    <w:rsid w:val="00D251C4"/>
    <w:rsid w:val="00D25570"/>
    <w:rsid w:val="00D257E0"/>
    <w:rsid w:val="00D26068"/>
    <w:rsid w:val="00D26341"/>
    <w:rsid w:val="00D26B77"/>
    <w:rsid w:val="00D270A9"/>
    <w:rsid w:val="00D2750E"/>
    <w:rsid w:val="00D2797E"/>
    <w:rsid w:val="00D27A5C"/>
    <w:rsid w:val="00D307E3"/>
    <w:rsid w:val="00D31310"/>
    <w:rsid w:val="00D3270E"/>
    <w:rsid w:val="00D32945"/>
    <w:rsid w:val="00D345D2"/>
    <w:rsid w:val="00D3464D"/>
    <w:rsid w:val="00D351A6"/>
    <w:rsid w:val="00D352A7"/>
    <w:rsid w:val="00D3562D"/>
    <w:rsid w:val="00D363A8"/>
    <w:rsid w:val="00D36E9B"/>
    <w:rsid w:val="00D374F4"/>
    <w:rsid w:val="00D379C3"/>
    <w:rsid w:val="00D415E1"/>
    <w:rsid w:val="00D41736"/>
    <w:rsid w:val="00D43437"/>
    <w:rsid w:val="00D43659"/>
    <w:rsid w:val="00D43C71"/>
    <w:rsid w:val="00D441E5"/>
    <w:rsid w:val="00D446A7"/>
    <w:rsid w:val="00D448BD"/>
    <w:rsid w:val="00D45021"/>
    <w:rsid w:val="00D4518D"/>
    <w:rsid w:val="00D457FC"/>
    <w:rsid w:val="00D45C6D"/>
    <w:rsid w:val="00D4633B"/>
    <w:rsid w:val="00D466D9"/>
    <w:rsid w:val="00D4673D"/>
    <w:rsid w:val="00D46DE7"/>
    <w:rsid w:val="00D50461"/>
    <w:rsid w:val="00D50531"/>
    <w:rsid w:val="00D50C1F"/>
    <w:rsid w:val="00D50D2D"/>
    <w:rsid w:val="00D51E66"/>
    <w:rsid w:val="00D52E8F"/>
    <w:rsid w:val="00D52E9F"/>
    <w:rsid w:val="00D535D4"/>
    <w:rsid w:val="00D53965"/>
    <w:rsid w:val="00D53AD6"/>
    <w:rsid w:val="00D53C55"/>
    <w:rsid w:val="00D53E3A"/>
    <w:rsid w:val="00D53E96"/>
    <w:rsid w:val="00D53FE9"/>
    <w:rsid w:val="00D540BA"/>
    <w:rsid w:val="00D544A5"/>
    <w:rsid w:val="00D552BC"/>
    <w:rsid w:val="00D55552"/>
    <w:rsid w:val="00D55C4B"/>
    <w:rsid w:val="00D56AC7"/>
    <w:rsid w:val="00D56F0F"/>
    <w:rsid w:val="00D5759C"/>
    <w:rsid w:val="00D57A82"/>
    <w:rsid w:val="00D57E06"/>
    <w:rsid w:val="00D603C0"/>
    <w:rsid w:val="00D60D22"/>
    <w:rsid w:val="00D60E63"/>
    <w:rsid w:val="00D615F9"/>
    <w:rsid w:val="00D616BF"/>
    <w:rsid w:val="00D61B87"/>
    <w:rsid w:val="00D61DD5"/>
    <w:rsid w:val="00D620B3"/>
    <w:rsid w:val="00D6336D"/>
    <w:rsid w:val="00D6367A"/>
    <w:rsid w:val="00D63A41"/>
    <w:rsid w:val="00D63ECF"/>
    <w:rsid w:val="00D64C3B"/>
    <w:rsid w:val="00D64CFA"/>
    <w:rsid w:val="00D64FA8"/>
    <w:rsid w:val="00D659AF"/>
    <w:rsid w:val="00D65CAD"/>
    <w:rsid w:val="00D65D12"/>
    <w:rsid w:val="00D66320"/>
    <w:rsid w:val="00D66777"/>
    <w:rsid w:val="00D66821"/>
    <w:rsid w:val="00D66CA8"/>
    <w:rsid w:val="00D67701"/>
    <w:rsid w:val="00D67C47"/>
    <w:rsid w:val="00D70BEA"/>
    <w:rsid w:val="00D7195D"/>
    <w:rsid w:val="00D71A8C"/>
    <w:rsid w:val="00D71D50"/>
    <w:rsid w:val="00D722EA"/>
    <w:rsid w:val="00D72FA8"/>
    <w:rsid w:val="00D736CC"/>
    <w:rsid w:val="00D73E23"/>
    <w:rsid w:val="00D7465B"/>
    <w:rsid w:val="00D7618B"/>
    <w:rsid w:val="00D76C5A"/>
    <w:rsid w:val="00D771BB"/>
    <w:rsid w:val="00D77767"/>
    <w:rsid w:val="00D77800"/>
    <w:rsid w:val="00D7791A"/>
    <w:rsid w:val="00D77C41"/>
    <w:rsid w:val="00D80180"/>
    <w:rsid w:val="00D8031C"/>
    <w:rsid w:val="00D80D09"/>
    <w:rsid w:val="00D80E97"/>
    <w:rsid w:val="00D8148D"/>
    <w:rsid w:val="00D81BA8"/>
    <w:rsid w:val="00D825CC"/>
    <w:rsid w:val="00D830EE"/>
    <w:rsid w:val="00D836E2"/>
    <w:rsid w:val="00D86811"/>
    <w:rsid w:val="00D86B07"/>
    <w:rsid w:val="00D87078"/>
    <w:rsid w:val="00D8762B"/>
    <w:rsid w:val="00D87C64"/>
    <w:rsid w:val="00D87F74"/>
    <w:rsid w:val="00D87FE1"/>
    <w:rsid w:val="00D914A7"/>
    <w:rsid w:val="00D918AD"/>
    <w:rsid w:val="00D91B19"/>
    <w:rsid w:val="00D92F16"/>
    <w:rsid w:val="00D93940"/>
    <w:rsid w:val="00D9423E"/>
    <w:rsid w:val="00D94B86"/>
    <w:rsid w:val="00D94D56"/>
    <w:rsid w:val="00D9512F"/>
    <w:rsid w:val="00D952CA"/>
    <w:rsid w:val="00D955F0"/>
    <w:rsid w:val="00D95964"/>
    <w:rsid w:val="00D95A76"/>
    <w:rsid w:val="00D95CA6"/>
    <w:rsid w:val="00D96061"/>
    <w:rsid w:val="00D9672D"/>
    <w:rsid w:val="00D96CB4"/>
    <w:rsid w:val="00D97CA9"/>
    <w:rsid w:val="00D97CB9"/>
    <w:rsid w:val="00DA00FF"/>
    <w:rsid w:val="00DA01F8"/>
    <w:rsid w:val="00DA06F2"/>
    <w:rsid w:val="00DA0811"/>
    <w:rsid w:val="00DA093D"/>
    <w:rsid w:val="00DA1AEA"/>
    <w:rsid w:val="00DA2361"/>
    <w:rsid w:val="00DA2748"/>
    <w:rsid w:val="00DA3331"/>
    <w:rsid w:val="00DA41B1"/>
    <w:rsid w:val="00DA48B1"/>
    <w:rsid w:val="00DA48F3"/>
    <w:rsid w:val="00DA4BE7"/>
    <w:rsid w:val="00DA4ED9"/>
    <w:rsid w:val="00DA4F3F"/>
    <w:rsid w:val="00DA5192"/>
    <w:rsid w:val="00DA57B3"/>
    <w:rsid w:val="00DA58BE"/>
    <w:rsid w:val="00DA5BAA"/>
    <w:rsid w:val="00DA621E"/>
    <w:rsid w:val="00DA65D7"/>
    <w:rsid w:val="00DA660C"/>
    <w:rsid w:val="00DA6BC2"/>
    <w:rsid w:val="00DA75BD"/>
    <w:rsid w:val="00DB02A6"/>
    <w:rsid w:val="00DB0424"/>
    <w:rsid w:val="00DB0595"/>
    <w:rsid w:val="00DB0B8D"/>
    <w:rsid w:val="00DB0BBE"/>
    <w:rsid w:val="00DB1120"/>
    <w:rsid w:val="00DB1D63"/>
    <w:rsid w:val="00DB2824"/>
    <w:rsid w:val="00DB3111"/>
    <w:rsid w:val="00DB4C6A"/>
    <w:rsid w:val="00DB4D15"/>
    <w:rsid w:val="00DB4D5B"/>
    <w:rsid w:val="00DB5C43"/>
    <w:rsid w:val="00DB656E"/>
    <w:rsid w:val="00DB66BE"/>
    <w:rsid w:val="00DB6862"/>
    <w:rsid w:val="00DB6C18"/>
    <w:rsid w:val="00DB730A"/>
    <w:rsid w:val="00DB758B"/>
    <w:rsid w:val="00DB75C6"/>
    <w:rsid w:val="00DB7C99"/>
    <w:rsid w:val="00DB7F46"/>
    <w:rsid w:val="00DC06D6"/>
    <w:rsid w:val="00DC12C0"/>
    <w:rsid w:val="00DC2804"/>
    <w:rsid w:val="00DC3CB0"/>
    <w:rsid w:val="00DC45D0"/>
    <w:rsid w:val="00DC4998"/>
    <w:rsid w:val="00DC55AF"/>
    <w:rsid w:val="00DC5C16"/>
    <w:rsid w:val="00DC6FD9"/>
    <w:rsid w:val="00DC7740"/>
    <w:rsid w:val="00DD040E"/>
    <w:rsid w:val="00DD0B65"/>
    <w:rsid w:val="00DD1422"/>
    <w:rsid w:val="00DD1423"/>
    <w:rsid w:val="00DD1474"/>
    <w:rsid w:val="00DD178B"/>
    <w:rsid w:val="00DD21AB"/>
    <w:rsid w:val="00DD25D3"/>
    <w:rsid w:val="00DD2E0C"/>
    <w:rsid w:val="00DD32CC"/>
    <w:rsid w:val="00DD353A"/>
    <w:rsid w:val="00DD3A2B"/>
    <w:rsid w:val="00DD3A9D"/>
    <w:rsid w:val="00DD4EA9"/>
    <w:rsid w:val="00DD55D3"/>
    <w:rsid w:val="00DD56D1"/>
    <w:rsid w:val="00DD5ED3"/>
    <w:rsid w:val="00DD5F68"/>
    <w:rsid w:val="00DD630B"/>
    <w:rsid w:val="00DD64DA"/>
    <w:rsid w:val="00DD6E17"/>
    <w:rsid w:val="00DD716B"/>
    <w:rsid w:val="00DD7C15"/>
    <w:rsid w:val="00DD7D75"/>
    <w:rsid w:val="00DE0C39"/>
    <w:rsid w:val="00DE0E7D"/>
    <w:rsid w:val="00DE1A24"/>
    <w:rsid w:val="00DE28A7"/>
    <w:rsid w:val="00DE2E36"/>
    <w:rsid w:val="00DE306C"/>
    <w:rsid w:val="00DE35AE"/>
    <w:rsid w:val="00DE42E0"/>
    <w:rsid w:val="00DE45F3"/>
    <w:rsid w:val="00DE4685"/>
    <w:rsid w:val="00DE50E1"/>
    <w:rsid w:val="00DF0C56"/>
    <w:rsid w:val="00DF0E69"/>
    <w:rsid w:val="00DF0F2B"/>
    <w:rsid w:val="00DF13D5"/>
    <w:rsid w:val="00DF1466"/>
    <w:rsid w:val="00DF15BB"/>
    <w:rsid w:val="00DF15FB"/>
    <w:rsid w:val="00DF1A40"/>
    <w:rsid w:val="00DF1ED8"/>
    <w:rsid w:val="00DF2BDD"/>
    <w:rsid w:val="00DF3144"/>
    <w:rsid w:val="00DF4E23"/>
    <w:rsid w:val="00DF5BBB"/>
    <w:rsid w:val="00DF6192"/>
    <w:rsid w:val="00DF76D9"/>
    <w:rsid w:val="00DF7AD2"/>
    <w:rsid w:val="00DF7C86"/>
    <w:rsid w:val="00DF7EEE"/>
    <w:rsid w:val="00E0019A"/>
    <w:rsid w:val="00E00E53"/>
    <w:rsid w:val="00E01B56"/>
    <w:rsid w:val="00E02232"/>
    <w:rsid w:val="00E02B72"/>
    <w:rsid w:val="00E03165"/>
    <w:rsid w:val="00E04E8F"/>
    <w:rsid w:val="00E05D7C"/>
    <w:rsid w:val="00E05F34"/>
    <w:rsid w:val="00E05FB0"/>
    <w:rsid w:val="00E05FD3"/>
    <w:rsid w:val="00E06126"/>
    <w:rsid w:val="00E068AE"/>
    <w:rsid w:val="00E06900"/>
    <w:rsid w:val="00E069D5"/>
    <w:rsid w:val="00E0712D"/>
    <w:rsid w:val="00E07445"/>
    <w:rsid w:val="00E0784F"/>
    <w:rsid w:val="00E07C7C"/>
    <w:rsid w:val="00E10408"/>
    <w:rsid w:val="00E106B3"/>
    <w:rsid w:val="00E110C8"/>
    <w:rsid w:val="00E126B1"/>
    <w:rsid w:val="00E1334D"/>
    <w:rsid w:val="00E1350D"/>
    <w:rsid w:val="00E14015"/>
    <w:rsid w:val="00E14B07"/>
    <w:rsid w:val="00E14DF1"/>
    <w:rsid w:val="00E1526B"/>
    <w:rsid w:val="00E154F0"/>
    <w:rsid w:val="00E159D6"/>
    <w:rsid w:val="00E15CDC"/>
    <w:rsid w:val="00E15E08"/>
    <w:rsid w:val="00E15FBD"/>
    <w:rsid w:val="00E1663D"/>
    <w:rsid w:val="00E16788"/>
    <w:rsid w:val="00E16DD4"/>
    <w:rsid w:val="00E16E55"/>
    <w:rsid w:val="00E17639"/>
    <w:rsid w:val="00E17D86"/>
    <w:rsid w:val="00E20B99"/>
    <w:rsid w:val="00E21846"/>
    <w:rsid w:val="00E21EFA"/>
    <w:rsid w:val="00E22911"/>
    <w:rsid w:val="00E23B11"/>
    <w:rsid w:val="00E240AE"/>
    <w:rsid w:val="00E240DA"/>
    <w:rsid w:val="00E24BAE"/>
    <w:rsid w:val="00E25054"/>
    <w:rsid w:val="00E25785"/>
    <w:rsid w:val="00E26087"/>
    <w:rsid w:val="00E268C6"/>
    <w:rsid w:val="00E26B6B"/>
    <w:rsid w:val="00E26FAE"/>
    <w:rsid w:val="00E271C5"/>
    <w:rsid w:val="00E2730C"/>
    <w:rsid w:val="00E276F9"/>
    <w:rsid w:val="00E27B27"/>
    <w:rsid w:val="00E301B5"/>
    <w:rsid w:val="00E3037B"/>
    <w:rsid w:val="00E3089B"/>
    <w:rsid w:val="00E30C33"/>
    <w:rsid w:val="00E3105A"/>
    <w:rsid w:val="00E31571"/>
    <w:rsid w:val="00E31674"/>
    <w:rsid w:val="00E318BD"/>
    <w:rsid w:val="00E319B2"/>
    <w:rsid w:val="00E31DA3"/>
    <w:rsid w:val="00E3203D"/>
    <w:rsid w:val="00E32210"/>
    <w:rsid w:val="00E322B4"/>
    <w:rsid w:val="00E328CB"/>
    <w:rsid w:val="00E32E1A"/>
    <w:rsid w:val="00E32F0C"/>
    <w:rsid w:val="00E34012"/>
    <w:rsid w:val="00E340D9"/>
    <w:rsid w:val="00E350B4"/>
    <w:rsid w:val="00E35C5A"/>
    <w:rsid w:val="00E365B7"/>
    <w:rsid w:val="00E3692A"/>
    <w:rsid w:val="00E37EE0"/>
    <w:rsid w:val="00E400D1"/>
    <w:rsid w:val="00E40B0F"/>
    <w:rsid w:val="00E41D84"/>
    <w:rsid w:val="00E431EE"/>
    <w:rsid w:val="00E43F25"/>
    <w:rsid w:val="00E44002"/>
    <w:rsid w:val="00E445B1"/>
    <w:rsid w:val="00E446C8"/>
    <w:rsid w:val="00E45293"/>
    <w:rsid w:val="00E45A7E"/>
    <w:rsid w:val="00E4660E"/>
    <w:rsid w:val="00E4677A"/>
    <w:rsid w:val="00E46B3F"/>
    <w:rsid w:val="00E46EAA"/>
    <w:rsid w:val="00E47329"/>
    <w:rsid w:val="00E479F1"/>
    <w:rsid w:val="00E5032F"/>
    <w:rsid w:val="00E504BD"/>
    <w:rsid w:val="00E50597"/>
    <w:rsid w:val="00E5073A"/>
    <w:rsid w:val="00E50F89"/>
    <w:rsid w:val="00E510C5"/>
    <w:rsid w:val="00E52DAE"/>
    <w:rsid w:val="00E537B6"/>
    <w:rsid w:val="00E541A5"/>
    <w:rsid w:val="00E5460D"/>
    <w:rsid w:val="00E54DE9"/>
    <w:rsid w:val="00E54FD5"/>
    <w:rsid w:val="00E55118"/>
    <w:rsid w:val="00E560F3"/>
    <w:rsid w:val="00E5680C"/>
    <w:rsid w:val="00E56D5F"/>
    <w:rsid w:val="00E5754D"/>
    <w:rsid w:val="00E60515"/>
    <w:rsid w:val="00E60B4C"/>
    <w:rsid w:val="00E6192D"/>
    <w:rsid w:val="00E61AA8"/>
    <w:rsid w:val="00E622A4"/>
    <w:rsid w:val="00E629EF"/>
    <w:rsid w:val="00E62A1A"/>
    <w:rsid w:val="00E63084"/>
    <w:rsid w:val="00E63207"/>
    <w:rsid w:val="00E636CB"/>
    <w:rsid w:val="00E63764"/>
    <w:rsid w:val="00E638CA"/>
    <w:rsid w:val="00E64343"/>
    <w:rsid w:val="00E647B0"/>
    <w:rsid w:val="00E64B46"/>
    <w:rsid w:val="00E655CF"/>
    <w:rsid w:val="00E657E5"/>
    <w:rsid w:val="00E6599D"/>
    <w:rsid w:val="00E65A52"/>
    <w:rsid w:val="00E65D2B"/>
    <w:rsid w:val="00E6622C"/>
    <w:rsid w:val="00E66DCF"/>
    <w:rsid w:val="00E6761B"/>
    <w:rsid w:val="00E676A0"/>
    <w:rsid w:val="00E67792"/>
    <w:rsid w:val="00E7013B"/>
    <w:rsid w:val="00E70172"/>
    <w:rsid w:val="00E707FA"/>
    <w:rsid w:val="00E70EA7"/>
    <w:rsid w:val="00E716DA"/>
    <w:rsid w:val="00E71F2A"/>
    <w:rsid w:val="00E71F84"/>
    <w:rsid w:val="00E721CC"/>
    <w:rsid w:val="00E72B59"/>
    <w:rsid w:val="00E72B83"/>
    <w:rsid w:val="00E73998"/>
    <w:rsid w:val="00E7400C"/>
    <w:rsid w:val="00E743B8"/>
    <w:rsid w:val="00E749F1"/>
    <w:rsid w:val="00E75C38"/>
    <w:rsid w:val="00E7653E"/>
    <w:rsid w:val="00E76AF4"/>
    <w:rsid w:val="00E76CB2"/>
    <w:rsid w:val="00E803FD"/>
    <w:rsid w:val="00E810F6"/>
    <w:rsid w:val="00E81279"/>
    <w:rsid w:val="00E819E2"/>
    <w:rsid w:val="00E81AE8"/>
    <w:rsid w:val="00E823EF"/>
    <w:rsid w:val="00E82A4D"/>
    <w:rsid w:val="00E8391A"/>
    <w:rsid w:val="00E83A9F"/>
    <w:rsid w:val="00E84251"/>
    <w:rsid w:val="00E843AA"/>
    <w:rsid w:val="00E84C3D"/>
    <w:rsid w:val="00E84DDC"/>
    <w:rsid w:val="00E85420"/>
    <w:rsid w:val="00E85B25"/>
    <w:rsid w:val="00E868F4"/>
    <w:rsid w:val="00E87A78"/>
    <w:rsid w:val="00E903F5"/>
    <w:rsid w:val="00E90504"/>
    <w:rsid w:val="00E90EFE"/>
    <w:rsid w:val="00E917C8"/>
    <w:rsid w:val="00E922EF"/>
    <w:rsid w:val="00E92EFC"/>
    <w:rsid w:val="00E93A40"/>
    <w:rsid w:val="00E94006"/>
    <w:rsid w:val="00E9412D"/>
    <w:rsid w:val="00E9458F"/>
    <w:rsid w:val="00E9568B"/>
    <w:rsid w:val="00E959C4"/>
    <w:rsid w:val="00E95B05"/>
    <w:rsid w:val="00E95F85"/>
    <w:rsid w:val="00E9736B"/>
    <w:rsid w:val="00E97429"/>
    <w:rsid w:val="00EA0321"/>
    <w:rsid w:val="00EA03B5"/>
    <w:rsid w:val="00EA0B40"/>
    <w:rsid w:val="00EA0CA2"/>
    <w:rsid w:val="00EA1315"/>
    <w:rsid w:val="00EA1A61"/>
    <w:rsid w:val="00EA2CD2"/>
    <w:rsid w:val="00EA372E"/>
    <w:rsid w:val="00EA3E57"/>
    <w:rsid w:val="00EA446E"/>
    <w:rsid w:val="00EA59E9"/>
    <w:rsid w:val="00EA59FC"/>
    <w:rsid w:val="00EA5F63"/>
    <w:rsid w:val="00EA5F9C"/>
    <w:rsid w:val="00EA650F"/>
    <w:rsid w:val="00EA6686"/>
    <w:rsid w:val="00EA7607"/>
    <w:rsid w:val="00EA7A8A"/>
    <w:rsid w:val="00EB0365"/>
    <w:rsid w:val="00EB0CE4"/>
    <w:rsid w:val="00EB14C7"/>
    <w:rsid w:val="00EB1697"/>
    <w:rsid w:val="00EB3748"/>
    <w:rsid w:val="00EB3B9B"/>
    <w:rsid w:val="00EB3DAD"/>
    <w:rsid w:val="00EB4980"/>
    <w:rsid w:val="00EB5305"/>
    <w:rsid w:val="00EB57BA"/>
    <w:rsid w:val="00EB5F7B"/>
    <w:rsid w:val="00EB6D0A"/>
    <w:rsid w:val="00EB6E77"/>
    <w:rsid w:val="00EB794D"/>
    <w:rsid w:val="00EB7F86"/>
    <w:rsid w:val="00EC0800"/>
    <w:rsid w:val="00EC096A"/>
    <w:rsid w:val="00EC0E29"/>
    <w:rsid w:val="00EC10A3"/>
    <w:rsid w:val="00EC1D43"/>
    <w:rsid w:val="00EC24CB"/>
    <w:rsid w:val="00EC25C6"/>
    <w:rsid w:val="00EC27E4"/>
    <w:rsid w:val="00EC3A83"/>
    <w:rsid w:val="00EC48FA"/>
    <w:rsid w:val="00EC4A7B"/>
    <w:rsid w:val="00EC565F"/>
    <w:rsid w:val="00EC6123"/>
    <w:rsid w:val="00EC6207"/>
    <w:rsid w:val="00EC6A88"/>
    <w:rsid w:val="00EC6CCA"/>
    <w:rsid w:val="00EC761E"/>
    <w:rsid w:val="00EC7744"/>
    <w:rsid w:val="00EC794F"/>
    <w:rsid w:val="00EC7A49"/>
    <w:rsid w:val="00ED02CF"/>
    <w:rsid w:val="00ED16B2"/>
    <w:rsid w:val="00ED1C32"/>
    <w:rsid w:val="00ED1FA6"/>
    <w:rsid w:val="00ED2CD2"/>
    <w:rsid w:val="00ED2EA6"/>
    <w:rsid w:val="00ED3007"/>
    <w:rsid w:val="00ED3D3F"/>
    <w:rsid w:val="00ED40B8"/>
    <w:rsid w:val="00ED4706"/>
    <w:rsid w:val="00ED549E"/>
    <w:rsid w:val="00ED5910"/>
    <w:rsid w:val="00ED5BC3"/>
    <w:rsid w:val="00ED5C11"/>
    <w:rsid w:val="00ED7224"/>
    <w:rsid w:val="00ED7A4F"/>
    <w:rsid w:val="00ED7CF0"/>
    <w:rsid w:val="00ED7D6F"/>
    <w:rsid w:val="00EE0459"/>
    <w:rsid w:val="00EE1AFC"/>
    <w:rsid w:val="00EE1B90"/>
    <w:rsid w:val="00EE2302"/>
    <w:rsid w:val="00EE27A9"/>
    <w:rsid w:val="00EE2D35"/>
    <w:rsid w:val="00EE337F"/>
    <w:rsid w:val="00EE4745"/>
    <w:rsid w:val="00EE5063"/>
    <w:rsid w:val="00EE526B"/>
    <w:rsid w:val="00EE58DD"/>
    <w:rsid w:val="00EE5A31"/>
    <w:rsid w:val="00EE5BC4"/>
    <w:rsid w:val="00EE5C2B"/>
    <w:rsid w:val="00EE5DDB"/>
    <w:rsid w:val="00EE69AD"/>
    <w:rsid w:val="00EE6C90"/>
    <w:rsid w:val="00EE6E54"/>
    <w:rsid w:val="00EE742B"/>
    <w:rsid w:val="00EE7A09"/>
    <w:rsid w:val="00EE7CF3"/>
    <w:rsid w:val="00EF19D9"/>
    <w:rsid w:val="00EF3805"/>
    <w:rsid w:val="00EF3807"/>
    <w:rsid w:val="00EF4A25"/>
    <w:rsid w:val="00EF577C"/>
    <w:rsid w:val="00EF5CC1"/>
    <w:rsid w:val="00EF5F8D"/>
    <w:rsid w:val="00EF6145"/>
    <w:rsid w:val="00EF6217"/>
    <w:rsid w:val="00EF720C"/>
    <w:rsid w:val="00EF786F"/>
    <w:rsid w:val="00EF795E"/>
    <w:rsid w:val="00F0098A"/>
    <w:rsid w:val="00F00ECD"/>
    <w:rsid w:val="00F02CEF"/>
    <w:rsid w:val="00F0310A"/>
    <w:rsid w:val="00F04145"/>
    <w:rsid w:val="00F0418D"/>
    <w:rsid w:val="00F04477"/>
    <w:rsid w:val="00F04675"/>
    <w:rsid w:val="00F04881"/>
    <w:rsid w:val="00F04E64"/>
    <w:rsid w:val="00F05D73"/>
    <w:rsid w:val="00F06053"/>
    <w:rsid w:val="00F0626D"/>
    <w:rsid w:val="00F0637A"/>
    <w:rsid w:val="00F079CD"/>
    <w:rsid w:val="00F07D7E"/>
    <w:rsid w:val="00F07FD3"/>
    <w:rsid w:val="00F100CD"/>
    <w:rsid w:val="00F102B9"/>
    <w:rsid w:val="00F1032A"/>
    <w:rsid w:val="00F10FA0"/>
    <w:rsid w:val="00F1183C"/>
    <w:rsid w:val="00F11BFD"/>
    <w:rsid w:val="00F11D36"/>
    <w:rsid w:val="00F11F3E"/>
    <w:rsid w:val="00F11F42"/>
    <w:rsid w:val="00F120C8"/>
    <w:rsid w:val="00F1238D"/>
    <w:rsid w:val="00F129F8"/>
    <w:rsid w:val="00F12ADC"/>
    <w:rsid w:val="00F12B2B"/>
    <w:rsid w:val="00F12C6A"/>
    <w:rsid w:val="00F12D4C"/>
    <w:rsid w:val="00F13079"/>
    <w:rsid w:val="00F1347E"/>
    <w:rsid w:val="00F13619"/>
    <w:rsid w:val="00F13E03"/>
    <w:rsid w:val="00F13F50"/>
    <w:rsid w:val="00F143A1"/>
    <w:rsid w:val="00F14C17"/>
    <w:rsid w:val="00F152F4"/>
    <w:rsid w:val="00F157D3"/>
    <w:rsid w:val="00F158A2"/>
    <w:rsid w:val="00F161CB"/>
    <w:rsid w:val="00F16BDB"/>
    <w:rsid w:val="00F16C23"/>
    <w:rsid w:val="00F1732B"/>
    <w:rsid w:val="00F17AA5"/>
    <w:rsid w:val="00F17F09"/>
    <w:rsid w:val="00F2006F"/>
    <w:rsid w:val="00F201DB"/>
    <w:rsid w:val="00F20331"/>
    <w:rsid w:val="00F20738"/>
    <w:rsid w:val="00F21930"/>
    <w:rsid w:val="00F21934"/>
    <w:rsid w:val="00F21AC6"/>
    <w:rsid w:val="00F220E9"/>
    <w:rsid w:val="00F2228F"/>
    <w:rsid w:val="00F2326D"/>
    <w:rsid w:val="00F23290"/>
    <w:rsid w:val="00F23ECD"/>
    <w:rsid w:val="00F23FA1"/>
    <w:rsid w:val="00F2415A"/>
    <w:rsid w:val="00F24535"/>
    <w:rsid w:val="00F250B5"/>
    <w:rsid w:val="00F256B2"/>
    <w:rsid w:val="00F256C9"/>
    <w:rsid w:val="00F2629F"/>
    <w:rsid w:val="00F263BA"/>
    <w:rsid w:val="00F2678B"/>
    <w:rsid w:val="00F278CF"/>
    <w:rsid w:val="00F27D79"/>
    <w:rsid w:val="00F27E61"/>
    <w:rsid w:val="00F31FA5"/>
    <w:rsid w:val="00F3242A"/>
    <w:rsid w:val="00F325EC"/>
    <w:rsid w:val="00F32DEC"/>
    <w:rsid w:val="00F32F2F"/>
    <w:rsid w:val="00F33ACF"/>
    <w:rsid w:val="00F33D03"/>
    <w:rsid w:val="00F34141"/>
    <w:rsid w:val="00F341D8"/>
    <w:rsid w:val="00F342BF"/>
    <w:rsid w:val="00F34719"/>
    <w:rsid w:val="00F3485E"/>
    <w:rsid w:val="00F34E97"/>
    <w:rsid w:val="00F35219"/>
    <w:rsid w:val="00F358DA"/>
    <w:rsid w:val="00F35F4D"/>
    <w:rsid w:val="00F36247"/>
    <w:rsid w:val="00F36FD9"/>
    <w:rsid w:val="00F375D2"/>
    <w:rsid w:val="00F40023"/>
    <w:rsid w:val="00F40BC2"/>
    <w:rsid w:val="00F4108B"/>
    <w:rsid w:val="00F41092"/>
    <w:rsid w:val="00F4138C"/>
    <w:rsid w:val="00F41B86"/>
    <w:rsid w:val="00F43007"/>
    <w:rsid w:val="00F43578"/>
    <w:rsid w:val="00F43A0E"/>
    <w:rsid w:val="00F43A67"/>
    <w:rsid w:val="00F44C31"/>
    <w:rsid w:val="00F47740"/>
    <w:rsid w:val="00F47936"/>
    <w:rsid w:val="00F4796B"/>
    <w:rsid w:val="00F502BE"/>
    <w:rsid w:val="00F5043A"/>
    <w:rsid w:val="00F51543"/>
    <w:rsid w:val="00F523F2"/>
    <w:rsid w:val="00F5338E"/>
    <w:rsid w:val="00F53466"/>
    <w:rsid w:val="00F54568"/>
    <w:rsid w:val="00F548FD"/>
    <w:rsid w:val="00F54DC7"/>
    <w:rsid w:val="00F558B8"/>
    <w:rsid w:val="00F559EF"/>
    <w:rsid w:val="00F56065"/>
    <w:rsid w:val="00F56B3B"/>
    <w:rsid w:val="00F57710"/>
    <w:rsid w:val="00F609F6"/>
    <w:rsid w:val="00F60FD2"/>
    <w:rsid w:val="00F610CE"/>
    <w:rsid w:val="00F61654"/>
    <w:rsid w:val="00F6228C"/>
    <w:rsid w:val="00F624CD"/>
    <w:rsid w:val="00F6275E"/>
    <w:rsid w:val="00F64036"/>
    <w:rsid w:val="00F64D3E"/>
    <w:rsid w:val="00F65658"/>
    <w:rsid w:val="00F664FF"/>
    <w:rsid w:val="00F669ED"/>
    <w:rsid w:val="00F67234"/>
    <w:rsid w:val="00F6744D"/>
    <w:rsid w:val="00F6747D"/>
    <w:rsid w:val="00F678B6"/>
    <w:rsid w:val="00F7091B"/>
    <w:rsid w:val="00F71070"/>
    <w:rsid w:val="00F714F2"/>
    <w:rsid w:val="00F71E9E"/>
    <w:rsid w:val="00F7256B"/>
    <w:rsid w:val="00F73200"/>
    <w:rsid w:val="00F7338C"/>
    <w:rsid w:val="00F73650"/>
    <w:rsid w:val="00F73D68"/>
    <w:rsid w:val="00F743C5"/>
    <w:rsid w:val="00F74A63"/>
    <w:rsid w:val="00F74F1C"/>
    <w:rsid w:val="00F7541D"/>
    <w:rsid w:val="00F75837"/>
    <w:rsid w:val="00F75A33"/>
    <w:rsid w:val="00F75D4E"/>
    <w:rsid w:val="00F76B6A"/>
    <w:rsid w:val="00F76C8B"/>
    <w:rsid w:val="00F77683"/>
    <w:rsid w:val="00F800C0"/>
    <w:rsid w:val="00F80FEC"/>
    <w:rsid w:val="00F811CF"/>
    <w:rsid w:val="00F814FF"/>
    <w:rsid w:val="00F81988"/>
    <w:rsid w:val="00F81C6D"/>
    <w:rsid w:val="00F82758"/>
    <w:rsid w:val="00F82900"/>
    <w:rsid w:val="00F829E1"/>
    <w:rsid w:val="00F82B99"/>
    <w:rsid w:val="00F82F14"/>
    <w:rsid w:val="00F8317B"/>
    <w:rsid w:val="00F8339B"/>
    <w:rsid w:val="00F841A7"/>
    <w:rsid w:val="00F84CAA"/>
    <w:rsid w:val="00F84D4C"/>
    <w:rsid w:val="00F855E1"/>
    <w:rsid w:val="00F85674"/>
    <w:rsid w:val="00F856B0"/>
    <w:rsid w:val="00F8579E"/>
    <w:rsid w:val="00F85FBA"/>
    <w:rsid w:val="00F86B1C"/>
    <w:rsid w:val="00F86C21"/>
    <w:rsid w:val="00F86F13"/>
    <w:rsid w:val="00F8703C"/>
    <w:rsid w:val="00F87091"/>
    <w:rsid w:val="00F872C7"/>
    <w:rsid w:val="00F87580"/>
    <w:rsid w:val="00F8759B"/>
    <w:rsid w:val="00F9037B"/>
    <w:rsid w:val="00F9062A"/>
    <w:rsid w:val="00F90799"/>
    <w:rsid w:val="00F90AB2"/>
    <w:rsid w:val="00F90C6F"/>
    <w:rsid w:val="00F92012"/>
    <w:rsid w:val="00F92365"/>
    <w:rsid w:val="00F92B26"/>
    <w:rsid w:val="00F93447"/>
    <w:rsid w:val="00F934AD"/>
    <w:rsid w:val="00F93EEB"/>
    <w:rsid w:val="00F9541A"/>
    <w:rsid w:val="00F954B6"/>
    <w:rsid w:val="00F957D0"/>
    <w:rsid w:val="00F96169"/>
    <w:rsid w:val="00F963DA"/>
    <w:rsid w:val="00F96403"/>
    <w:rsid w:val="00F972D6"/>
    <w:rsid w:val="00F97392"/>
    <w:rsid w:val="00FA0117"/>
    <w:rsid w:val="00FA05F2"/>
    <w:rsid w:val="00FA0629"/>
    <w:rsid w:val="00FA0B06"/>
    <w:rsid w:val="00FA0C16"/>
    <w:rsid w:val="00FA0DE3"/>
    <w:rsid w:val="00FA13E5"/>
    <w:rsid w:val="00FA1B6E"/>
    <w:rsid w:val="00FA1C44"/>
    <w:rsid w:val="00FA1C69"/>
    <w:rsid w:val="00FA2ADC"/>
    <w:rsid w:val="00FA3707"/>
    <w:rsid w:val="00FA3F69"/>
    <w:rsid w:val="00FA461C"/>
    <w:rsid w:val="00FA4843"/>
    <w:rsid w:val="00FA5A87"/>
    <w:rsid w:val="00FA5CAD"/>
    <w:rsid w:val="00FA6EF9"/>
    <w:rsid w:val="00FA75EC"/>
    <w:rsid w:val="00FB10B9"/>
    <w:rsid w:val="00FB1127"/>
    <w:rsid w:val="00FB1175"/>
    <w:rsid w:val="00FB1EA8"/>
    <w:rsid w:val="00FB28A7"/>
    <w:rsid w:val="00FB3786"/>
    <w:rsid w:val="00FB3D3C"/>
    <w:rsid w:val="00FB4325"/>
    <w:rsid w:val="00FB4569"/>
    <w:rsid w:val="00FB4B5E"/>
    <w:rsid w:val="00FB4CD7"/>
    <w:rsid w:val="00FB530A"/>
    <w:rsid w:val="00FB5649"/>
    <w:rsid w:val="00FB5E15"/>
    <w:rsid w:val="00FB5F7E"/>
    <w:rsid w:val="00FB5F8B"/>
    <w:rsid w:val="00FC0292"/>
    <w:rsid w:val="00FC0A07"/>
    <w:rsid w:val="00FC0E33"/>
    <w:rsid w:val="00FC1B95"/>
    <w:rsid w:val="00FC21A1"/>
    <w:rsid w:val="00FC2CF5"/>
    <w:rsid w:val="00FC2DB6"/>
    <w:rsid w:val="00FC3438"/>
    <w:rsid w:val="00FC38D2"/>
    <w:rsid w:val="00FC5CD7"/>
    <w:rsid w:val="00FC6C5A"/>
    <w:rsid w:val="00FC72E8"/>
    <w:rsid w:val="00FC7A6A"/>
    <w:rsid w:val="00FC7AEB"/>
    <w:rsid w:val="00FC7C7B"/>
    <w:rsid w:val="00FD0659"/>
    <w:rsid w:val="00FD07C8"/>
    <w:rsid w:val="00FD0858"/>
    <w:rsid w:val="00FD088C"/>
    <w:rsid w:val="00FD1125"/>
    <w:rsid w:val="00FD14D2"/>
    <w:rsid w:val="00FD1A22"/>
    <w:rsid w:val="00FD1EF2"/>
    <w:rsid w:val="00FD2545"/>
    <w:rsid w:val="00FD330D"/>
    <w:rsid w:val="00FD35CF"/>
    <w:rsid w:val="00FD37D6"/>
    <w:rsid w:val="00FD40C9"/>
    <w:rsid w:val="00FD415E"/>
    <w:rsid w:val="00FD42F6"/>
    <w:rsid w:val="00FD4466"/>
    <w:rsid w:val="00FD4860"/>
    <w:rsid w:val="00FD4FF2"/>
    <w:rsid w:val="00FD52B5"/>
    <w:rsid w:val="00FD67B7"/>
    <w:rsid w:val="00FD6F00"/>
    <w:rsid w:val="00FD718F"/>
    <w:rsid w:val="00FD777D"/>
    <w:rsid w:val="00FE04E9"/>
    <w:rsid w:val="00FE0E6A"/>
    <w:rsid w:val="00FE0EBE"/>
    <w:rsid w:val="00FE0EFC"/>
    <w:rsid w:val="00FE164C"/>
    <w:rsid w:val="00FE1D43"/>
    <w:rsid w:val="00FE1D5F"/>
    <w:rsid w:val="00FE2502"/>
    <w:rsid w:val="00FE2B4A"/>
    <w:rsid w:val="00FE3637"/>
    <w:rsid w:val="00FE4F94"/>
    <w:rsid w:val="00FE5176"/>
    <w:rsid w:val="00FE5638"/>
    <w:rsid w:val="00FE59AA"/>
    <w:rsid w:val="00FE612C"/>
    <w:rsid w:val="00FE63B8"/>
    <w:rsid w:val="00FE641F"/>
    <w:rsid w:val="00FE6B8F"/>
    <w:rsid w:val="00FE6E7A"/>
    <w:rsid w:val="00FE7211"/>
    <w:rsid w:val="00FE7747"/>
    <w:rsid w:val="00FE7D30"/>
    <w:rsid w:val="00FE7DED"/>
    <w:rsid w:val="00FE7F59"/>
    <w:rsid w:val="00FF0E2D"/>
    <w:rsid w:val="00FF1153"/>
    <w:rsid w:val="00FF2B9C"/>
    <w:rsid w:val="00FF2BB9"/>
    <w:rsid w:val="00FF2DFE"/>
    <w:rsid w:val="00FF3029"/>
    <w:rsid w:val="00FF3921"/>
    <w:rsid w:val="00FF3CFC"/>
    <w:rsid w:val="00FF403A"/>
    <w:rsid w:val="00FF4EAB"/>
    <w:rsid w:val="00FF4F06"/>
    <w:rsid w:val="00FF587F"/>
    <w:rsid w:val="00FF5C32"/>
    <w:rsid w:val="00FF5ECF"/>
    <w:rsid w:val="00FF6345"/>
    <w:rsid w:val="00FF7053"/>
    <w:rsid w:val="00FF76C3"/>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B8D39"/>
  <w15:chartTrackingRefBased/>
  <w15:docId w15:val="{7946DB32-6046-4D0E-9716-CAD575F2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AB3"/>
    <w:rPr>
      <w:rFonts w:ascii="Ping LCG" w:hAnsi="Ping LCG" w:cs="Times New Roman (Body CS)"/>
    </w:rPr>
  </w:style>
  <w:style w:type="paragraph" w:styleId="Heading1">
    <w:name w:val="heading 1"/>
    <w:basedOn w:val="Normal"/>
    <w:next w:val="Normal"/>
    <w:link w:val="Heading1Char"/>
    <w:autoRedefine/>
    <w:uiPriority w:val="9"/>
    <w:qFormat/>
    <w:rsid w:val="000E10B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10BE"/>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E10B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E10BE"/>
    <w:rPr>
      <w:rFonts w:ascii="Ping LCG" w:eastAsiaTheme="majorEastAsia" w:hAnsi="Ping LCG" w:cstheme="majorBidi"/>
      <w:spacing w:val="-10"/>
      <w:kern w:val="28"/>
      <w:sz w:val="56"/>
      <w:szCs w:val="56"/>
    </w:rPr>
  </w:style>
  <w:style w:type="character" w:customStyle="1" w:styleId="Heading1Char">
    <w:name w:val="Heading 1 Char"/>
    <w:basedOn w:val="DefaultParagraphFont"/>
    <w:link w:val="Heading1"/>
    <w:uiPriority w:val="9"/>
    <w:rsid w:val="000E10BE"/>
    <w:rPr>
      <w:rFonts w:ascii="Ping LCG" w:eastAsiaTheme="majorEastAsia" w:hAnsi="Ping LCG" w:cstheme="majorBidi"/>
      <w:color w:val="2F5496" w:themeColor="accent1" w:themeShade="BF"/>
      <w:sz w:val="32"/>
      <w:szCs w:val="32"/>
    </w:rPr>
  </w:style>
  <w:style w:type="character" w:customStyle="1" w:styleId="Heading2Char">
    <w:name w:val="Heading 2 Char"/>
    <w:basedOn w:val="DefaultParagraphFont"/>
    <w:link w:val="Heading2"/>
    <w:uiPriority w:val="9"/>
    <w:rsid w:val="000E10BE"/>
    <w:rPr>
      <w:rFonts w:ascii="Ping LCG" w:eastAsiaTheme="majorEastAsia" w:hAnsi="Ping LCG" w:cstheme="majorBidi"/>
      <w:color w:val="2F5496" w:themeColor="accent1" w:themeShade="BF"/>
      <w:sz w:val="26"/>
      <w:szCs w:val="26"/>
    </w:rPr>
  </w:style>
  <w:style w:type="paragraph" w:styleId="Subtitle">
    <w:name w:val="Subtitle"/>
    <w:basedOn w:val="Normal"/>
    <w:next w:val="Normal"/>
    <w:link w:val="SubtitleChar"/>
    <w:autoRedefine/>
    <w:uiPriority w:val="11"/>
    <w:qFormat/>
    <w:rsid w:val="000E10B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E10BE"/>
    <w:rPr>
      <w:rFonts w:ascii="Ping LCG" w:eastAsiaTheme="minorEastAsia" w:hAnsi="Ping LCG"/>
      <w:color w:val="5A5A5A" w:themeColor="text1" w:themeTint="A5"/>
      <w:spacing w:val="15"/>
      <w:sz w:val="22"/>
      <w:szCs w:val="22"/>
    </w:rPr>
  </w:style>
  <w:style w:type="character" w:styleId="SubtleEmphasis">
    <w:name w:val="Subtle Emphasis"/>
    <w:basedOn w:val="DefaultParagraphFont"/>
    <w:uiPriority w:val="19"/>
    <w:qFormat/>
    <w:rsid w:val="000E10BE"/>
    <w:rPr>
      <w:rFonts w:ascii="Ping LCG" w:hAnsi="Ping LCG"/>
      <w:i/>
      <w:iCs/>
      <w:color w:val="404040" w:themeColor="text1" w:themeTint="BF"/>
    </w:rPr>
  </w:style>
  <w:style w:type="character" w:styleId="BookTitle">
    <w:name w:val="Book Title"/>
    <w:basedOn w:val="DefaultParagraphFont"/>
    <w:uiPriority w:val="33"/>
    <w:qFormat/>
    <w:rsid w:val="000E10BE"/>
    <w:rPr>
      <w:rFonts w:ascii="Ping LCG" w:hAnsi="Ping LCG"/>
      <w:b/>
      <w:bCs/>
      <w:i/>
      <w:iCs/>
      <w:spacing w:val="5"/>
    </w:rPr>
  </w:style>
  <w:style w:type="character" w:styleId="IntenseReference">
    <w:name w:val="Intense Reference"/>
    <w:basedOn w:val="DefaultParagraphFont"/>
    <w:uiPriority w:val="32"/>
    <w:qFormat/>
    <w:rsid w:val="000E10BE"/>
    <w:rPr>
      <w:rFonts w:ascii="Ping LCG" w:hAnsi="Ping LCG"/>
      <w:b/>
      <w:bCs/>
      <w:smallCaps/>
      <w:color w:val="4472C4" w:themeColor="accent1"/>
      <w:spacing w:val="5"/>
    </w:rPr>
  </w:style>
  <w:style w:type="character" w:styleId="SubtleReference">
    <w:name w:val="Subtle Reference"/>
    <w:basedOn w:val="DefaultParagraphFont"/>
    <w:uiPriority w:val="31"/>
    <w:qFormat/>
    <w:rsid w:val="000E10BE"/>
    <w:rPr>
      <w:rFonts w:ascii="Ping LCG" w:hAnsi="Ping LCG"/>
      <w:smallCaps/>
      <w:color w:val="5A5A5A" w:themeColor="text1" w:themeTint="A5"/>
    </w:rPr>
  </w:style>
  <w:style w:type="character" w:styleId="Strong">
    <w:name w:val="Strong"/>
    <w:basedOn w:val="DefaultParagraphFont"/>
    <w:uiPriority w:val="22"/>
    <w:qFormat/>
    <w:rsid w:val="000E10BE"/>
    <w:rPr>
      <w:rFonts w:ascii="Ping LCG" w:hAnsi="Ping LCG"/>
      <w:b/>
      <w:bCs/>
    </w:rPr>
  </w:style>
  <w:style w:type="paragraph" w:styleId="Quote">
    <w:name w:val="Quote"/>
    <w:basedOn w:val="Normal"/>
    <w:next w:val="Normal"/>
    <w:link w:val="QuoteChar"/>
    <w:uiPriority w:val="29"/>
    <w:qFormat/>
    <w:rsid w:val="000E10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10BE"/>
    <w:rPr>
      <w:rFonts w:ascii="Ping LCG" w:hAnsi="Ping LCG" w:cs="Times New Roman (Body CS)"/>
      <w:i/>
      <w:iCs/>
      <w:color w:val="404040" w:themeColor="text1" w:themeTint="BF"/>
    </w:rPr>
  </w:style>
  <w:style w:type="paragraph" w:styleId="IntenseQuote">
    <w:name w:val="Intense Quote"/>
    <w:basedOn w:val="Normal"/>
    <w:next w:val="Normal"/>
    <w:link w:val="IntenseQuoteChar"/>
    <w:uiPriority w:val="30"/>
    <w:qFormat/>
    <w:rsid w:val="000E10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10BE"/>
    <w:rPr>
      <w:rFonts w:ascii="Ping LCG" w:hAnsi="Ping LCG" w:cs="Times New Roman (Body CS)"/>
      <w:i/>
      <w:iCs/>
      <w:color w:val="4472C4" w:themeColor="accent1"/>
    </w:rPr>
  </w:style>
  <w:style w:type="character" w:styleId="Emphasis">
    <w:name w:val="Emphasis"/>
    <w:basedOn w:val="DefaultParagraphFont"/>
    <w:uiPriority w:val="20"/>
    <w:qFormat/>
    <w:rsid w:val="000E10BE"/>
    <w:rPr>
      <w:rFonts w:ascii="Ping LCG" w:hAnsi="Ping LCG"/>
      <w:i/>
      <w:iCs/>
    </w:rPr>
  </w:style>
  <w:style w:type="character" w:styleId="IntenseEmphasis">
    <w:name w:val="Intense Emphasis"/>
    <w:basedOn w:val="DefaultParagraphFont"/>
    <w:uiPriority w:val="21"/>
    <w:qFormat/>
    <w:rsid w:val="000E10BE"/>
    <w:rPr>
      <w:rFonts w:ascii="Ping LCG" w:hAnsi="Ping LCG"/>
      <w:i/>
      <w:iCs/>
      <w:color w:val="4472C4" w:themeColor="accent1"/>
    </w:rPr>
  </w:style>
  <w:style w:type="paragraph" w:styleId="Header">
    <w:name w:val="header"/>
    <w:basedOn w:val="Normal"/>
    <w:link w:val="HeaderChar"/>
    <w:uiPriority w:val="99"/>
    <w:unhideWhenUsed/>
    <w:rsid w:val="000E10BE"/>
    <w:pPr>
      <w:tabs>
        <w:tab w:val="center" w:pos="4680"/>
        <w:tab w:val="right" w:pos="9360"/>
      </w:tabs>
    </w:pPr>
  </w:style>
  <w:style w:type="character" w:customStyle="1" w:styleId="HeaderChar">
    <w:name w:val="Header Char"/>
    <w:basedOn w:val="DefaultParagraphFont"/>
    <w:link w:val="Header"/>
    <w:uiPriority w:val="99"/>
    <w:rsid w:val="000E10BE"/>
    <w:rPr>
      <w:rFonts w:ascii="Ping LCG" w:hAnsi="Ping LCG" w:cs="Times New Roman (Body CS)"/>
    </w:rPr>
  </w:style>
  <w:style w:type="paragraph" w:styleId="Footer">
    <w:name w:val="footer"/>
    <w:basedOn w:val="Normal"/>
    <w:link w:val="FooterChar"/>
    <w:uiPriority w:val="99"/>
    <w:unhideWhenUsed/>
    <w:rsid w:val="000E10BE"/>
    <w:pPr>
      <w:tabs>
        <w:tab w:val="center" w:pos="4680"/>
        <w:tab w:val="right" w:pos="9360"/>
      </w:tabs>
    </w:pPr>
  </w:style>
  <w:style w:type="character" w:customStyle="1" w:styleId="FooterChar">
    <w:name w:val="Footer Char"/>
    <w:basedOn w:val="DefaultParagraphFont"/>
    <w:link w:val="Footer"/>
    <w:uiPriority w:val="99"/>
    <w:rsid w:val="000E10BE"/>
    <w:rPr>
      <w:rFonts w:ascii="Ping LCG" w:hAnsi="Ping LCG" w:cs="Times New Roman (Body CS)"/>
    </w:rPr>
  </w:style>
  <w:style w:type="table" w:styleId="TableGrid">
    <w:name w:val="Table Grid"/>
    <w:basedOn w:val="TableNormal"/>
    <w:uiPriority w:val="59"/>
    <w:rsid w:val="00BB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9A6"/>
    <w:pPr>
      <w:ind w:left="720"/>
      <w:contextualSpacing/>
    </w:pPr>
    <w:rPr>
      <w:rFonts w:ascii="Times New Roman" w:eastAsia="Times New Roman" w:hAnsi="Times New Roman" w:cs="Times New Roman"/>
      <w:lang w:val="el-GR" w:eastAsia="el-GR"/>
    </w:rPr>
  </w:style>
  <w:style w:type="paragraph" w:customStyle="1" w:styleId="Default">
    <w:name w:val="Default"/>
    <w:rsid w:val="00A249A6"/>
    <w:pPr>
      <w:autoSpaceDE w:val="0"/>
      <w:autoSpaceDN w:val="0"/>
      <w:adjustRightInd w:val="0"/>
    </w:pPr>
    <w:rPr>
      <w:rFonts w:ascii="Calibri" w:hAnsi="Calibri" w:cs="Calibri"/>
      <w:color w:val="000000"/>
      <w:lang w:val="el-GR"/>
    </w:rPr>
  </w:style>
  <w:style w:type="character" w:styleId="Hyperlink">
    <w:name w:val="Hyperlink"/>
    <w:basedOn w:val="DefaultParagraphFont"/>
    <w:uiPriority w:val="99"/>
    <w:unhideWhenUsed/>
    <w:rsid w:val="00A249A6"/>
    <w:rPr>
      <w:color w:val="0563C1" w:themeColor="hyperlink"/>
      <w:u w:val="single"/>
    </w:rPr>
  </w:style>
  <w:style w:type="character" w:customStyle="1" w:styleId="UnresolvedMention">
    <w:name w:val="Unresolved Mention"/>
    <w:basedOn w:val="DefaultParagraphFont"/>
    <w:uiPriority w:val="99"/>
    <w:semiHidden/>
    <w:unhideWhenUsed/>
    <w:rsid w:val="00A249A6"/>
    <w:rPr>
      <w:color w:val="605E5C"/>
      <w:shd w:val="clear" w:color="auto" w:fill="E1DFDD"/>
    </w:rPr>
  </w:style>
  <w:style w:type="paragraph" w:styleId="BalloonText">
    <w:name w:val="Balloon Text"/>
    <w:basedOn w:val="Normal"/>
    <w:link w:val="BalloonTextChar"/>
    <w:uiPriority w:val="99"/>
    <w:semiHidden/>
    <w:unhideWhenUsed/>
    <w:rsid w:val="001737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777"/>
    <w:rPr>
      <w:rFonts w:ascii="Segoe UI" w:hAnsi="Segoe UI" w:cs="Segoe UI"/>
      <w:sz w:val="18"/>
      <w:szCs w:val="18"/>
    </w:rPr>
  </w:style>
  <w:style w:type="character" w:styleId="CommentReference">
    <w:name w:val="annotation reference"/>
    <w:basedOn w:val="DefaultParagraphFont"/>
    <w:uiPriority w:val="99"/>
    <w:semiHidden/>
    <w:unhideWhenUsed/>
    <w:rsid w:val="002F17FD"/>
    <w:rPr>
      <w:sz w:val="16"/>
      <w:szCs w:val="16"/>
    </w:rPr>
  </w:style>
  <w:style w:type="paragraph" w:styleId="CommentText">
    <w:name w:val="annotation text"/>
    <w:basedOn w:val="Normal"/>
    <w:link w:val="CommentTextChar"/>
    <w:uiPriority w:val="99"/>
    <w:unhideWhenUsed/>
    <w:rsid w:val="002F17FD"/>
    <w:rPr>
      <w:sz w:val="20"/>
      <w:szCs w:val="20"/>
    </w:rPr>
  </w:style>
  <w:style w:type="character" w:customStyle="1" w:styleId="CommentTextChar">
    <w:name w:val="Comment Text Char"/>
    <w:basedOn w:val="DefaultParagraphFont"/>
    <w:link w:val="CommentText"/>
    <w:uiPriority w:val="99"/>
    <w:rsid w:val="002F17FD"/>
    <w:rPr>
      <w:rFonts w:ascii="Ping LCG" w:hAnsi="Ping LCG" w:cs="Times New Roman (Body CS)"/>
      <w:sz w:val="20"/>
      <w:szCs w:val="20"/>
    </w:rPr>
  </w:style>
  <w:style w:type="paragraph" w:styleId="CommentSubject">
    <w:name w:val="annotation subject"/>
    <w:basedOn w:val="CommentText"/>
    <w:next w:val="CommentText"/>
    <w:link w:val="CommentSubjectChar"/>
    <w:uiPriority w:val="99"/>
    <w:semiHidden/>
    <w:unhideWhenUsed/>
    <w:rsid w:val="002F17FD"/>
    <w:rPr>
      <w:b/>
      <w:bCs/>
    </w:rPr>
  </w:style>
  <w:style w:type="character" w:customStyle="1" w:styleId="CommentSubjectChar">
    <w:name w:val="Comment Subject Char"/>
    <w:basedOn w:val="CommentTextChar"/>
    <w:link w:val="CommentSubject"/>
    <w:uiPriority w:val="99"/>
    <w:semiHidden/>
    <w:rsid w:val="002F17FD"/>
    <w:rPr>
      <w:rFonts w:ascii="Ping LCG" w:hAnsi="Ping LCG" w:cs="Times New Roman (Body CS)"/>
      <w:b/>
      <w:bCs/>
      <w:sz w:val="20"/>
      <w:szCs w:val="20"/>
    </w:rPr>
  </w:style>
  <w:style w:type="paragraph" w:styleId="Revision">
    <w:name w:val="Revision"/>
    <w:hidden/>
    <w:uiPriority w:val="99"/>
    <w:semiHidden/>
    <w:rsid w:val="002F17FD"/>
    <w:rPr>
      <w:rFonts w:ascii="Ping LCG" w:hAnsi="Ping LCG" w:cs="Times New Roman (Body CS)"/>
    </w:rPr>
  </w:style>
  <w:style w:type="paragraph" w:styleId="FootnoteText">
    <w:name w:val="footnote text"/>
    <w:basedOn w:val="Normal"/>
    <w:link w:val="FootnoteTextChar"/>
    <w:uiPriority w:val="99"/>
    <w:semiHidden/>
    <w:unhideWhenUsed/>
    <w:rsid w:val="00FE7DED"/>
    <w:rPr>
      <w:sz w:val="20"/>
      <w:szCs w:val="20"/>
    </w:rPr>
  </w:style>
  <w:style w:type="character" w:customStyle="1" w:styleId="FootnoteTextChar">
    <w:name w:val="Footnote Text Char"/>
    <w:basedOn w:val="DefaultParagraphFont"/>
    <w:link w:val="FootnoteText"/>
    <w:uiPriority w:val="99"/>
    <w:semiHidden/>
    <w:rsid w:val="00FE7DED"/>
    <w:rPr>
      <w:rFonts w:ascii="Ping LCG" w:hAnsi="Ping LCG" w:cs="Times New Roman (Body CS)"/>
      <w:sz w:val="20"/>
      <w:szCs w:val="20"/>
    </w:rPr>
  </w:style>
  <w:style w:type="character" w:styleId="FootnoteReference">
    <w:name w:val="footnote reference"/>
    <w:basedOn w:val="DefaultParagraphFont"/>
    <w:uiPriority w:val="99"/>
    <w:semiHidden/>
    <w:unhideWhenUsed/>
    <w:rsid w:val="00FE7DED"/>
    <w:rPr>
      <w:vertAlign w:val="superscript"/>
    </w:rPr>
  </w:style>
  <w:style w:type="paragraph" w:styleId="NormalWeb">
    <w:name w:val="Normal (Web)"/>
    <w:basedOn w:val="Normal"/>
    <w:uiPriority w:val="99"/>
    <w:unhideWhenUsed/>
    <w:rsid w:val="00486A4F"/>
    <w:pPr>
      <w:spacing w:before="100" w:beforeAutospacing="1" w:after="100" w:afterAutospacing="1"/>
    </w:pPr>
    <w:rPr>
      <w:rFonts w:ascii="Times New Roman" w:eastAsia="Times New Roman" w:hAnsi="Times New Roman" w:cs="Times New Roman"/>
      <w:lang w:val="el-GR" w:eastAsia="el-GR"/>
    </w:rPr>
  </w:style>
  <w:style w:type="paragraph" w:styleId="NoSpacing">
    <w:name w:val="No Spacing"/>
    <w:link w:val="NoSpacingChar"/>
    <w:uiPriority w:val="1"/>
    <w:qFormat/>
    <w:rsid w:val="00903455"/>
    <w:rPr>
      <w:rFonts w:ascii="Times New Roman" w:eastAsia="Batang" w:hAnsi="Times New Roman" w:cs="Times New Roman"/>
      <w:lang w:val="el-GR" w:eastAsia="ko-KR"/>
    </w:rPr>
  </w:style>
  <w:style w:type="character" w:customStyle="1" w:styleId="NoSpacingChar">
    <w:name w:val="No Spacing Char"/>
    <w:link w:val="NoSpacing"/>
    <w:uiPriority w:val="1"/>
    <w:rsid w:val="00903455"/>
    <w:rPr>
      <w:rFonts w:ascii="Times New Roman" w:eastAsia="Batang" w:hAnsi="Times New Roman" w:cs="Times New Roman"/>
      <w:lang w:val="el-GR" w:eastAsia="ko-KR"/>
    </w:rPr>
  </w:style>
  <w:style w:type="paragraph" w:customStyle="1" w:styleId="pf0">
    <w:name w:val="pf0"/>
    <w:basedOn w:val="Normal"/>
    <w:rsid w:val="00762450"/>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762450"/>
    <w:rPr>
      <w:rFonts w:ascii="Segoe UI" w:hAnsi="Segoe UI" w:cs="Segoe UI" w:hint="default"/>
      <w:sz w:val="18"/>
      <w:szCs w:val="18"/>
    </w:rPr>
  </w:style>
  <w:style w:type="character" w:customStyle="1" w:styleId="cf11">
    <w:name w:val="cf11"/>
    <w:basedOn w:val="DefaultParagraphFont"/>
    <w:rsid w:val="00762450"/>
    <w:rPr>
      <w:rFonts w:ascii="Segoe UI" w:hAnsi="Segoe UI" w:cs="Segoe UI" w:hint="default"/>
      <w:sz w:val="18"/>
      <w:szCs w:val="18"/>
    </w:rPr>
  </w:style>
  <w:style w:type="paragraph" w:styleId="BodyText">
    <w:name w:val="Body Text"/>
    <w:basedOn w:val="Normal"/>
    <w:link w:val="BodyTextChar"/>
    <w:rsid w:val="006237D3"/>
    <w:pPr>
      <w:jc w:val="both"/>
    </w:pPr>
    <w:rPr>
      <w:rFonts w:ascii="Times New Roman" w:eastAsia="Times New Roman" w:hAnsi="Times New Roman" w:cs="Times New Roman"/>
      <w:bCs/>
      <w:lang w:val="el-GR"/>
    </w:rPr>
  </w:style>
  <w:style w:type="character" w:customStyle="1" w:styleId="BodyTextChar">
    <w:name w:val="Body Text Char"/>
    <w:basedOn w:val="DefaultParagraphFont"/>
    <w:link w:val="BodyText"/>
    <w:rsid w:val="006237D3"/>
    <w:rPr>
      <w:rFonts w:ascii="Times New Roman" w:eastAsia="Times New Roman" w:hAnsi="Times New Roman" w:cs="Times New Roman"/>
      <w:bCs/>
      <w:lang w:val="el-GR"/>
    </w:rPr>
  </w:style>
  <w:style w:type="character" w:customStyle="1" w:styleId="apple-converted-space">
    <w:name w:val="apple-converted-space"/>
    <w:basedOn w:val="DefaultParagraphFont"/>
    <w:rsid w:val="00532E1A"/>
  </w:style>
  <w:style w:type="table" w:customStyle="1" w:styleId="55">
    <w:name w:val="Πλέγμα πίνακα55"/>
    <w:basedOn w:val="TableNormal"/>
    <w:next w:val="TableGrid"/>
    <w:rsid w:val="005737F1"/>
    <w:rPr>
      <w:rFonts w:ascii="Times New Roman" w:eastAsia="Batang"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0101">
      <w:bodyDiv w:val="1"/>
      <w:marLeft w:val="0"/>
      <w:marRight w:val="0"/>
      <w:marTop w:val="0"/>
      <w:marBottom w:val="0"/>
      <w:divBdr>
        <w:top w:val="none" w:sz="0" w:space="0" w:color="auto"/>
        <w:left w:val="none" w:sz="0" w:space="0" w:color="auto"/>
        <w:bottom w:val="none" w:sz="0" w:space="0" w:color="auto"/>
        <w:right w:val="none" w:sz="0" w:space="0" w:color="auto"/>
      </w:divBdr>
    </w:div>
    <w:div w:id="366420146">
      <w:bodyDiv w:val="1"/>
      <w:marLeft w:val="0"/>
      <w:marRight w:val="0"/>
      <w:marTop w:val="0"/>
      <w:marBottom w:val="0"/>
      <w:divBdr>
        <w:top w:val="none" w:sz="0" w:space="0" w:color="auto"/>
        <w:left w:val="none" w:sz="0" w:space="0" w:color="auto"/>
        <w:bottom w:val="none" w:sz="0" w:space="0" w:color="auto"/>
        <w:right w:val="none" w:sz="0" w:space="0" w:color="auto"/>
      </w:divBdr>
      <w:divsChild>
        <w:div w:id="604767963">
          <w:marLeft w:val="0"/>
          <w:marRight w:val="0"/>
          <w:marTop w:val="0"/>
          <w:marBottom w:val="0"/>
          <w:divBdr>
            <w:top w:val="none" w:sz="0" w:space="0" w:color="auto"/>
            <w:left w:val="none" w:sz="0" w:space="0" w:color="auto"/>
            <w:bottom w:val="none" w:sz="0" w:space="0" w:color="auto"/>
            <w:right w:val="none" w:sz="0" w:space="0" w:color="auto"/>
          </w:divBdr>
          <w:divsChild>
            <w:div w:id="453864703">
              <w:marLeft w:val="0"/>
              <w:marRight w:val="0"/>
              <w:marTop w:val="0"/>
              <w:marBottom w:val="0"/>
              <w:divBdr>
                <w:top w:val="none" w:sz="0" w:space="0" w:color="auto"/>
                <w:left w:val="none" w:sz="0" w:space="0" w:color="auto"/>
                <w:bottom w:val="none" w:sz="0" w:space="0" w:color="auto"/>
                <w:right w:val="none" w:sz="0" w:space="0" w:color="auto"/>
              </w:divBdr>
              <w:divsChild>
                <w:div w:id="15865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49241">
      <w:bodyDiv w:val="1"/>
      <w:marLeft w:val="0"/>
      <w:marRight w:val="0"/>
      <w:marTop w:val="0"/>
      <w:marBottom w:val="0"/>
      <w:divBdr>
        <w:top w:val="none" w:sz="0" w:space="0" w:color="auto"/>
        <w:left w:val="none" w:sz="0" w:space="0" w:color="auto"/>
        <w:bottom w:val="none" w:sz="0" w:space="0" w:color="auto"/>
        <w:right w:val="none" w:sz="0" w:space="0" w:color="auto"/>
      </w:divBdr>
    </w:div>
    <w:div w:id="473371395">
      <w:bodyDiv w:val="1"/>
      <w:marLeft w:val="0"/>
      <w:marRight w:val="0"/>
      <w:marTop w:val="0"/>
      <w:marBottom w:val="0"/>
      <w:divBdr>
        <w:top w:val="none" w:sz="0" w:space="0" w:color="auto"/>
        <w:left w:val="none" w:sz="0" w:space="0" w:color="auto"/>
        <w:bottom w:val="none" w:sz="0" w:space="0" w:color="auto"/>
        <w:right w:val="none" w:sz="0" w:space="0" w:color="auto"/>
      </w:divBdr>
    </w:div>
    <w:div w:id="489711845">
      <w:bodyDiv w:val="1"/>
      <w:marLeft w:val="0"/>
      <w:marRight w:val="0"/>
      <w:marTop w:val="0"/>
      <w:marBottom w:val="0"/>
      <w:divBdr>
        <w:top w:val="none" w:sz="0" w:space="0" w:color="auto"/>
        <w:left w:val="none" w:sz="0" w:space="0" w:color="auto"/>
        <w:bottom w:val="none" w:sz="0" w:space="0" w:color="auto"/>
        <w:right w:val="none" w:sz="0" w:space="0" w:color="auto"/>
      </w:divBdr>
    </w:div>
    <w:div w:id="575211679">
      <w:bodyDiv w:val="1"/>
      <w:marLeft w:val="0"/>
      <w:marRight w:val="0"/>
      <w:marTop w:val="0"/>
      <w:marBottom w:val="0"/>
      <w:divBdr>
        <w:top w:val="none" w:sz="0" w:space="0" w:color="auto"/>
        <w:left w:val="none" w:sz="0" w:space="0" w:color="auto"/>
        <w:bottom w:val="none" w:sz="0" w:space="0" w:color="auto"/>
        <w:right w:val="none" w:sz="0" w:space="0" w:color="auto"/>
      </w:divBdr>
    </w:div>
    <w:div w:id="660236966">
      <w:bodyDiv w:val="1"/>
      <w:marLeft w:val="0"/>
      <w:marRight w:val="0"/>
      <w:marTop w:val="0"/>
      <w:marBottom w:val="0"/>
      <w:divBdr>
        <w:top w:val="none" w:sz="0" w:space="0" w:color="auto"/>
        <w:left w:val="none" w:sz="0" w:space="0" w:color="auto"/>
        <w:bottom w:val="none" w:sz="0" w:space="0" w:color="auto"/>
        <w:right w:val="none" w:sz="0" w:space="0" w:color="auto"/>
      </w:divBdr>
    </w:div>
    <w:div w:id="699428838">
      <w:bodyDiv w:val="1"/>
      <w:marLeft w:val="0"/>
      <w:marRight w:val="0"/>
      <w:marTop w:val="0"/>
      <w:marBottom w:val="0"/>
      <w:divBdr>
        <w:top w:val="none" w:sz="0" w:space="0" w:color="auto"/>
        <w:left w:val="none" w:sz="0" w:space="0" w:color="auto"/>
        <w:bottom w:val="none" w:sz="0" w:space="0" w:color="auto"/>
        <w:right w:val="none" w:sz="0" w:space="0" w:color="auto"/>
      </w:divBdr>
    </w:div>
    <w:div w:id="748775521">
      <w:bodyDiv w:val="1"/>
      <w:marLeft w:val="0"/>
      <w:marRight w:val="0"/>
      <w:marTop w:val="0"/>
      <w:marBottom w:val="0"/>
      <w:divBdr>
        <w:top w:val="none" w:sz="0" w:space="0" w:color="auto"/>
        <w:left w:val="none" w:sz="0" w:space="0" w:color="auto"/>
        <w:bottom w:val="none" w:sz="0" w:space="0" w:color="auto"/>
        <w:right w:val="none" w:sz="0" w:space="0" w:color="auto"/>
      </w:divBdr>
    </w:div>
    <w:div w:id="769356194">
      <w:bodyDiv w:val="1"/>
      <w:marLeft w:val="0"/>
      <w:marRight w:val="0"/>
      <w:marTop w:val="0"/>
      <w:marBottom w:val="0"/>
      <w:divBdr>
        <w:top w:val="none" w:sz="0" w:space="0" w:color="auto"/>
        <w:left w:val="none" w:sz="0" w:space="0" w:color="auto"/>
        <w:bottom w:val="none" w:sz="0" w:space="0" w:color="auto"/>
        <w:right w:val="none" w:sz="0" w:space="0" w:color="auto"/>
      </w:divBdr>
    </w:div>
    <w:div w:id="770514423">
      <w:bodyDiv w:val="1"/>
      <w:marLeft w:val="0"/>
      <w:marRight w:val="0"/>
      <w:marTop w:val="0"/>
      <w:marBottom w:val="0"/>
      <w:divBdr>
        <w:top w:val="none" w:sz="0" w:space="0" w:color="auto"/>
        <w:left w:val="none" w:sz="0" w:space="0" w:color="auto"/>
        <w:bottom w:val="none" w:sz="0" w:space="0" w:color="auto"/>
        <w:right w:val="none" w:sz="0" w:space="0" w:color="auto"/>
      </w:divBdr>
      <w:divsChild>
        <w:div w:id="1937471734">
          <w:marLeft w:val="0"/>
          <w:marRight w:val="0"/>
          <w:marTop w:val="0"/>
          <w:marBottom w:val="0"/>
          <w:divBdr>
            <w:top w:val="none" w:sz="0" w:space="0" w:color="auto"/>
            <w:left w:val="none" w:sz="0" w:space="0" w:color="auto"/>
            <w:bottom w:val="none" w:sz="0" w:space="0" w:color="auto"/>
            <w:right w:val="none" w:sz="0" w:space="0" w:color="auto"/>
          </w:divBdr>
          <w:divsChild>
            <w:div w:id="1550411586">
              <w:marLeft w:val="0"/>
              <w:marRight w:val="0"/>
              <w:marTop w:val="0"/>
              <w:marBottom w:val="0"/>
              <w:divBdr>
                <w:top w:val="none" w:sz="0" w:space="0" w:color="auto"/>
                <w:left w:val="none" w:sz="0" w:space="0" w:color="auto"/>
                <w:bottom w:val="none" w:sz="0" w:space="0" w:color="auto"/>
                <w:right w:val="none" w:sz="0" w:space="0" w:color="auto"/>
              </w:divBdr>
              <w:divsChild>
                <w:div w:id="7710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1746">
          <w:marLeft w:val="0"/>
          <w:marRight w:val="0"/>
          <w:marTop w:val="0"/>
          <w:marBottom w:val="0"/>
          <w:divBdr>
            <w:top w:val="none" w:sz="0" w:space="0" w:color="auto"/>
            <w:left w:val="none" w:sz="0" w:space="0" w:color="auto"/>
            <w:bottom w:val="none" w:sz="0" w:space="0" w:color="auto"/>
            <w:right w:val="none" w:sz="0" w:space="0" w:color="auto"/>
          </w:divBdr>
          <w:divsChild>
            <w:div w:id="1397896262">
              <w:marLeft w:val="0"/>
              <w:marRight w:val="0"/>
              <w:marTop w:val="0"/>
              <w:marBottom w:val="0"/>
              <w:divBdr>
                <w:top w:val="none" w:sz="0" w:space="0" w:color="auto"/>
                <w:left w:val="none" w:sz="0" w:space="0" w:color="auto"/>
                <w:bottom w:val="none" w:sz="0" w:space="0" w:color="auto"/>
                <w:right w:val="none" w:sz="0" w:space="0" w:color="auto"/>
              </w:divBdr>
              <w:divsChild>
                <w:div w:id="1397362034">
                  <w:marLeft w:val="0"/>
                  <w:marRight w:val="0"/>
                  <w:marTop w:val="0"/>
                  <w:marBottom w:val="0"/>
                  <w:divBdr>
                    <w:top w:val="none" w:sz="0" w:space="0" w:color="auto"/>
                    <w:left w:val="none" w:sz="0" w:space="0" w:color="auto"/>
                    <w:bottom w:val="none" w:sz="0" w:space="0" w:color="auto"/>
                    <w:right w:val="none" w:sz="0" w:space="0" w:color="auto"/>
                  </w:divBdr>
                  <w:divsChild>
                    <w:div w:id="62945571">
                      <w:marLeft w:val="0"/>
                      <w:marRight w:val="0"/>
                      <w:marTop w:val="0"/>
                      <w:marBottom w:val="0"/>
                      <w:divBdr>
                        <w:top w:val="none" w:sz="0" w:space="0" w:color="auto"/>
                        <w:left w:val="none" w:sz="0" w:space="0" w:color="auto"/>
                        <w:bottom w:val="none" w:sz="0" w:space="0" w:color="auto"/>
                        <w:right w:val="none" w:sz="0" w:space="0" w:color="auto"/>
                      </w:divBdr>
                      <w:divsChild>
                        <w:div w:id="11601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784660">
      <w:bodyDiv w:val="1"/>
      <w:marLeft w:val="0"/>
      <w:marRight w:val="0"/>
      <w:marTop w:val="0"/>
      <w:marBottom w:val="0"/>
      <w:divBdr>
        <w:top w:val="none" w:sz="0" w:space="0" w:color="auto"/>
        <w:left w:val="none" w:sz="0" w:space="0" w:color="auto"/>
        <w:bottom w:val="none" w:sz="0" w:space="0" w:color="auto"/>
        <w:right w:val="none" w:sz="0" w:space="0" w:color="auto"/>
      </w:divBdr>
    </w:div>
    <w:div w:id="785543866">
      <w:bodyDiv w:val="1"/>
      <w:marLeft w:val="0"/>
      <w:marRight w:val="0"/>
      <w:marTop w:val="0"/>
      <w:marBottom w:val="0"/>
      <w:divBdr>
        <w:top w:val="none" w:sz="0" w:space="0" w:color="auto"/>
        <w:left w:val="none" w:sz="0" w:space="0" w:color="auto"/>
        <w:bottom w:val="none" w:sz="0" w:space="0" w:color="auto"/>
        <w:right w:val="none" w:sz="0" w:space="0" w:color="auto"/>
      </w:divBdr>
    </w:div>
    <w:div w:id="789130325">
      <w:bodyDiv w:val="1"/>
      <w:marLeft w:val="0"/>
      <w:marRight w:val="0"/>
      <w:marTop w:val="0"/>
      <w:marBottom w:val="0"/>
      <w:divBdr>
        <w:top w:val="none" w:sz="0" w:space="0" w:color="auto"/>
        <w:left w:val="none" w:sz="0" w:space="0" w:color="auto"/>
        <w:bottom w:val="none" w:sz="0" w:space="0" w:color="auto"/>
        <w:right w:val="none" w:sz="0" w:space="0" w:color="auto"/>
      </w:divBdr>
    </w:div>
    <w:div w:id="851071001">
      <w:bodyDiv w:val="1"/>
      <w:marLeft w:val="0"/>
      <w:marRight w:val="0"/>
      <w:marTop w:val="0"/>
      <w:marBottom w:val="0"/>
      <w:divBdr>
        <w:top w:val="none" w:sz="0" w:space="0" w:color="auto"/>
        <w:left w:val="none" w:sz="0" w:space="0" w:color="auto"/>
        <w:bottom w:val="none" w:sz="0" w:space="0" w:color="auto"/>
        <w:right w:val="none" w:sz="0" w:space="0" w:color="auto"/>
      </w:divBdr>
    </w:div>
    <w:div w:id="876359314">
      <w:bodyDiv w:val="1"/>
      <w:marLeft w:val="0"/>
      <w:marRight w:val="0"/>
      <w:marTop w:val="0"/>
      <w:marBottom w:val="0"/>
      <w:divBdr>
        <w:top w:val="none" w:sz="0" w:space="0" w:color="auto"/>
        <w:left w:val="none" w:sz="0" w:space="0" w:color="auto"/>
        <w:bottom w:val="none" w:sz="0" w:space="0" w:color="auto"/>
        <w:right w:val="none" w:sz="0" w:space="0" w:color="auto"/>
      </w:divBdr>
    </w:div>
    <w:div w:id="895507921">
      <w:bodyDiv w:val="1"/>
      <w:marLeft w:val="0"/>
      <w:marRight w:val="0"/>
      <w:marTop w:val="0"/>
      <w:marBottom w:val="0"/>
      <w:divBdr>
        <w:top w:val="none" w:sz="0" w:space="0" w:color="auto"/>
        <w:left w:val="none" w:sz="0" w:space="0" w:color="auto"/>
        <w:bottom w:val="none" w:sz="0" w:space="0" w:color="auto"/>
        <w:right w:val="none" w:sz="0" w:space="0" w:color="auto"/>
      </w:divBdr>
      <w:divsChild>
        <w:div w:id="357001404">
          <w:marLeft w:val="0"/>
          <w:marRight w:val="0"/>
          <w:marTop w:val="0"/>
          <w:marBottom w:val="0"/>
          <w:divBdr>
            <w:top w:val="none" w:sz="0" w:space="0" w:color="auto"/>
            <w:left w:val="none" w:sz="0" w:space="0" w:color="auto"/>
            <w:bottom w:val="none" w:sz="0" w:space="0" w:color="auto"/>
            <w:right w:val="none" w:sz="0" w:space="0" w:color="auto"/>
          </w:divBdr>
          <w:divsChild>
            <w:div w:id="1655528131">
              <w:marLeft w:val="0"/>
              <w:marRight w:val="0"/>
              <w:marTop w:val="0"/>
              <w:marBottom w:val="0"/>
              <w:divBdr>
                <w:top w:val="none" w:sz="0" w:space="0" w:color="auto"/>
                <w:left w:val="none" w:sz="0" w:space="0" w:color="auto"/>
                <w:bottom w:val="none" w:sz="0" w:space="0" w:color="auto"/>
                <w:right w:val="none" w:sz="0" w:space="0" w:color="auto"/>
              </w:divBdr>
              <w:divsChild>
                <w:div w:id="1346979978">
                  <w:marLeft w:val="0"/>
                  <w:marRight w:val="0"/>
                  <w:marTop w:val="0"/>
                  <w:marBottom w:val="0"/>
                  <w:divBdr>
                    <w:top w:val="none" w:sz="0" w:space="0" w:color="auto"/>
                    <w:left w:val="none" w:sz="0" w:space="0" w:color="auto"/>
                    <w:bottom w:val="none" w:sz="0" w:space="0" w:color="auto"/>
                    <w:right w:val="none" w:sz="0" w:space="0" w:color="auto"/>
                  </w:divBdr>
                  <w:divsChild>
                    <w:div w:id="743450715">
                      <w:marLeft w:val="0"/>
                      <w:marRight w:val="0"/>
                      <w:marTop w:val="0"/>
                      <w:marBottom w:val="0"/>
                      <w:divBdr>
                        <w:top w:val="none" w:sz="0" w:space="0" w:color="auto"/>
                        <w:left w:val="none" w:sz="0" w:space="0" w:color="auto"/>
                        <w:bottom w:val="none" w:sz="0" w:space="0" w:color="auto"/>
                        <w:right w:val="none" w:sz="0" w:space="0" w:color="auto"/>
                      </w:divBdr>
                      <w:divsChild>
                        <w:div w:id="506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7445">
          <w:marLeft w:val="0"/>
          <w:marRight w:val="0"/>
          <w:marTop w:val="0"/>
          <w:marBottom w:val="0"/>
          <w:divBdr>
            <w:top w:val="none" w:sz="0" w:space="0" w:color="auto"/>
            <w:left w:val="none" w:sz="0" w:space="0" w:color="auto"/>
            <w:bottom w:val="none" w:sz="0" w:space="0" w:color="auto"/>
            <w:right w:val="none" w:sz="0" w:space="0" w:color="auto"/>
          </w:divBdr>
          <w:divsChild>
            <w:div w:id="1702512386">
              <w:marLeft w:val="0"/>
              <w:marRight w:val="0"/>
              <w:marTop w:val="0"/>
              <w:marBottom w:val="0"/>
              <w:divBdr>
                <w:top w:val="none" w:sz="0" w:space="0" w:color="auto"/>
                <w:left w:val="none" w:sz="0" w:space="0" w:color="auto"/>
                <w:bottom w:val="none" w:sz="0" w:space="0" w:color="auto"/>
                <w:right w:val="none" w:sz="0" w:space="0" w:color="auto"/>
              </w:divBdr>
              <w:divsChild>
                <w:div w:id="429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38652">
      <w:bodyDiv w:val="1"/>
      <w:marLeft w:val="0"/>
      <w:marRight w:val="0"/>
      <w:marTop w:val="0"/>
      <w:marBottom w:val="0"/>
      <w:divBdr>
        <w:top w:val="none" w:sz="0" w:space="0" w:color="auto"/>
        <w:left w:val="none" w:sz="0" w:space="0" w:color="auto"/>
        <w:bottom w:val="none" w:sz="0" w:space="0" w:color="auto"/>
        <w:right w:val="none" w:sz="0" w:space="0" w:color="auto"/>
      </w:divBdr>
    </w:div>
    <w:div w:id="993295644">
      <w:bodyDiv w:val="1"/>
      <w:marLeft w:val="0"/>
      <w:marRight w:val="0"/>
      <w:marTop w:val="0"/>
      <w:marBottom w:val="0"/>
      <w:divBdr>
        <w:top w:val="none" w:sz="0" w:space="0" w:color="auto"/>
        <w:left w:val="none" w:sz="0" w:space="0" w:color="auto"/>
        <w:bottom w:val="none" w:sz="0" w:space="0" w:color="auto"/>
        <w:right w:val="none" w:sz="0" w:space="0" w:color="auto"/>
      </w:divBdr>
    </w:div>
    <w:div w:id="1019619093">
      <w:bodyDiv w:val="1"/>
      <w:marLeft w:val="0"/>
      <w:marRight w:val="0"/>
      <w:marTop w:val="0"/>
      <w:marBottom w:val="0"/>
      <w:divBdr>
        <w:top w:val="none" w:sz="0" w:space="0" w:color="auto"/>
        <w:left w:val="none" w:sz="0" w:space="0" w:color="auto"/>
        <w:bottom w:val="none" w:sz="0" w:space="0" w:color="auto"/>
        <w:right w:val="none" w:sz="0" w:space="0" w:color="auto"/>
      </w:divBdr>
    </w:div>
    <w:div w:id="1034816461">
      <w:bodyDiv w:val="1"/>
      <w:marLeft w:val="0"/>
      <w:marRight w:val="0"/>
      <w:marTop w:val="0"/>
      <w:marBottom w:val="0"/>
      <w:divBdr>
        <w:top w:val="none" w:sz="0" w:space="0" w:color="auto"/>
        <w:left w:val="none" w:sz="0" w:space="0" w:color="auto"/>
        <w:bottom w:val="none" w:sz="0" w:space="0" w:color="auto"/>
        <w:right w:val="none" w:sz="0" w:space="0" w:color="auto"/>
      </w:divBdr>
    </w:div>
    <w:div w:id="1063985980">
      <w:bodyDiv w:val="1"/>
      <w:marLeft w:val="0"/>
      <w:marRight w:val="0"/>
      <w:marTop w:val="0"/>
      <w:marBottom w:val="0"/>
      <w:divBdr>
        <w:top w:val="none" w:sz="0" w:space="0" w:color="auto"/>
        <w:left w:val="none" w:sz="0" w:space="0" w:color="auto"/>
        <w:bottom w:val="none" w:sz="0" w:space="0" w:color="auto"/>
        <w:right w:val="none" w:sz="0" w:space="0" w:color="auto"/>
      </w:divBdr>
      <w:divsChild>
        <w:div w:id="107311080">
          <w:marLeft w:val="547"/>
          <w:marRight w:val="0"/>
          <w:marTop w:val="0"/>
          <w:marBottom w:val="200"/>
          <w:divBdr>
            <w:top w:val="none" w:sz="0" w:space="0" w:color="auto"/>
            <w:left w:val="none" w:sz="0" w:space="0" w:color="auto"/>
            <w:bottom w:val="none" w:sz="0" w:space="0" w:color="auto"/>
            <w:right w:val="none" w:sz="0" w:space="0" w:color="auto"/>
          </w:divBdr>
        </w:div>
      </w:divsChild>
    </w:div>
    <w:div w:id="1165707547">
      <w:bodyDiv w:val="1"/>
      <w:marLeft w:val="0"/>
      <w:marRight w:val="0"/>
      <w:marTop w:val="0"/>
      <w:marBottom w:val="0"/>
      <w:divBdr>
        <w:top w:val="none" w:sz="0" w:space="0" w:color="auto"/>
        <w:left w:val="none" w:sz="0" w:space="0" w:color="auto"/>
        <w:bottom w:val="none" w:sz="0" w:space="0" w:color="auto"/>
        <w:right w:val="none" w:sz="0" w:space="0" w:color="auto"/>
      </w:divBdr>
    </w:div>
    <w:div w:id="1187906504">
      <w:bodyDiv w:val="1"/>
      <w:marLeft w:val="0"/>
      <w:marRight w:val="0"/>
      <w:marTop w:val="0"/>
      <w:marBottom w:val="0"/>
      <w:divBdr>
        <w:top w:val="none" w:sz="0" w:space="0" w:color="auto"/>
        <w:left w:val="none" w:sz="0" w:space="0" w:color="auto"/>
        <w:bottom w:val="none" w:sz="0" w:space="0" w:color="auto"/>
        <w:right w:val="none" w:sz="0" w:space="0" w:color="auto"/>
      </w:divBdr>
    </w:div>
    <w:div w:id="1280062805">
      <w:bodyDiv w:val="1"/>
      <w:marLeft w:val="0"/>
      <w:marRight w:val="0"/>
      <w:marTop w:val="0"/>
      <w:marBottom w:val="0"/>
      <w:divBdr>
        <w:top w:val="none" w:sz="0" w:space="0" w:color="auto"/>
        <w:left w:val="none" w:sz="0" w:space="0" w:color="auto"/>
        <w:bottom w:val="none" w:sz="0" w:space="0" w:color="auto"/>
        <w:right w:val="none" w:sz="0" w:space="0" w:color="auto"/>
      </w:divBdr>
    </w:div>
    <w:div w:id="1349989360">
      <w:bodyDiv w:val="1"/>
      <w:marLeft w:val="0"/>
      <w:marRight w:val="0"/>
      <w:marTop w:val="0"/>
      <w:marBottom w:val="0"/>
      <w:divBdr>
        <w:top w:val="none" w:sz="0" w:space="0" w:color="auto"/>
        <w:left w:val="none" w:sz="0" w:space="0" w:color="auto"/>
        <w:bottom w:val="none" w:sz="0" w:space="0" w:color="auto"/>
        <w:right w:val="none" w:sz="0" w:space="0" w:color="auto"/>
      </w:divBdr>
      <w:divsChild>
        <w:div w:id="1889759098">
          <w:marLeft w:val="0"/>
          <w:marRight w:val="0"/>
          <w:marTop w:val="0"/>
          <w:marBottom w:val="0"/>
          <w:divBdr>
            <w:top w:val="none" w:sz="0" w:space="0" w:color="auto"/>
            <w:left w:val="none" w:sz="0" w:space="0" w:color="auto"/>
            <w:bottom w:val="none" w:sz="0" w:space="0" w:color="auto"/>
            <w:right w:val="none" w:sz="0" w:space="0" w:color="auto"/>
          </w:divBdr>
        </w:div>
      </w:divsChild>
    </w:div>
    <w:div w:id="1432117443">
      <w:bodyDiv w:val="1"/>
      <w:marLeft w:val="0"/>
      <w:marRight w:val="0"/>
      <w:marTop w:val="0"/>
      <w:marBottom w:val="0"/>
      <w:divBdr>
        <w:top w:val="none" w:sz="0" w:space="0" w:color="auto"/>
        <w:left w:val="none" w:sz="0" w:space="0" w:color="auto"/>
        <w:bottom w:val="none" w:sz="0" w:space="0" w:color="auto"/>
        <w:right w:val="none" w:sz="0" w:space="0" w:color="auto"/>
      </w:divBdr>
    </w:div>
    <w:div w:id="1475103317">
      <w:bodyDiv w:val="1"/>
      <w:marLeft w:val="0"/>
      <w:marRight w:val="0"/>
      <w:marTop w:val="0"/>
      <w:marBottom w:val="0"/>
      <w:divBdr>
        <w:top w:val="none" w:sz="0" w:space="0" w:color="auto"/>
        <w:left w:val="none" w:sz="0" w:space="0" w:color="auto"/>
        <w:bottom w:val="none" w:sz="0" w:space="0" w:color="auto"/>
        <w:right w:val="none" w:sz="0" w:space="0" w:color="auto"/>
      </w:divBdr>
    </w:div>
    <w:div w:id="1553350824">
      <w:bodyDiv w:val="1"/>
      <w:marLeft w:val="0"/>
      <w:marRight w:val="0"/>
      <w:marTop w:val="0"/>
      <w:marBottom w:val="0"/>
      <w:divBdr>
        <w:top w:val="none" w:sz="0" w:space="0" w:color="auto"/>
        <w:left w:val="none" w:sz="0" w:space="0" w:color="auto"/>
        <w:bottom w:val="none" w:sz="0" w:space="0" w:color="auto"/>
        <w:right w:val="none" w:sz="0" w:space="0" w:color="auto"/>
      </w:divBdr>
    </w:div>
    <w:div w:id="1588491341">
      <w:bodyDiv w:val="1"/>
      <w:marLeft w:val="0"/>
      <w:marRight w:val="0"/>
      <w:marTop w:val="0"/>
      <w:marBottom w:val="0"/>
      <w:divBdr>
        <w:top w:val="none" w:sz="0" w:space="0" w:color="auto"/>
        <w:left w:val="none" w:sz="0" w:space="0" w:color="auto"/>
        <w:bottom w:val="none" w:sz="0" w:space="0" w:color="auto"/>
        <w:right w:val="none" w:sz="0" w:space="0" w:color="auto"/>
      </w:divBdr>
    </w:div>
    <w:div w:id="1807236013">
      <w:bodyDiv w:val="1"/>
      <w:marLeft w:val="0"/>
      <w:marRight w:val="0"/>
      <w:marTop w:val="0"/>
      <w:marBottom w:val="0"/>
      <w:divBdr>
        <w:top w:val="none" w:sz="0" w:space="0" w:color="auto"/>
        <w:left w:val="none" w:sz="0" w:space="0" w:color="auto"/>
        <w:bottom w:val="none" w:sz="0" w:space="0" w:color="auto"/>
        <w:right w:val="none" w:sz="0" w:space="0" w:color="auto"/>
      </w:divBdr>
    </w:div>
    <w:div w:id="1877549142">
      <w:bodyDiv w:val="1"/>
      <w:marLeft w:val="0"/>
      <w:marRight w:val="0"/>
      <w:marTop w:val="0"/>
      <w:marBottom w:val="0"/>
      <w:divBdr>
        <w:top w:val="none" w:sz="0" w:space="0" w:color="auto"/>
        <w:left w:val="none" w:sz="0" w:space="0" w:color="auto"/>
        <w:bottom w:val="none" w:sz="0" w:space="0" w:color="auto"/>
        <w:right w:val="none" w:sz="0" w:space="0" w:color="auto"/>
      </w:divBdr>
    </w:div>
    <w:div w:id="1938950529">
      <w:bodyDiv w:val="1"/>
      <w:marLeft w:val="0"/>
      <w:marRight w:val="0"/>
      <w:marTop w:val="0"/>
      <w:marBottom w:val="0"/>
      <w:divBdr>
        <w:top w:val="none" w:sz="0" w:space="0" w:color="auto"/>
        <w:left w:val="none" w:sz="0" w:space="0" w:color="auto"/>
        <w:bottom w:val="none" w:sz="0" w:space="0" w:color="auto"/>
        <w:right w:val="none" w:sz="0" w:space="0" w:color="auto"/>
      </w:divBdr>
    </w:div>
    <w:div w:id="2005469848">
      <w:bodyDiv w:val="1"/>
      <w:marLeft w:val="0"/>
      <w:marRight w:val="0"/>
      <w:marTop w:val="0"/>
      <w:marBottom w:val="0"/>
      <w:divBdr>
        <w:top w:val="none" w:sz="0" w:space="0" w:color="auto"/>
        <w:left w:val="none" w:sz="0" w:space="0" w:color="auto"/>
        <w:bottom w:val="none" w:sz="0" w:space="0" w:color="auto"/>
        <w:right w:val="none" w:sz="0" w:space="0" w:color="auto"/>
      </w:divBdr>
    </w:div>
    <w:div w:id="2031683708">
      <w:bodyDiv w:val="1"/>
      <w:marLeft w:val="0"/>
      <w:marRight w:val="0"/>
      <w:marTop w:val="0"/>
      <w:marBottom w:val="0"/>
      <w:divBdr>
        <w:top w:val="none" w:sz="0" w:space="0" w:color="auto"/>
        <w:left w:val="none" w:sz="0" w:space="0" w:color="auto"/>
        <w:bottom w:val="none" w:sz="0" w:space="0" w:color="auto"/>
        <w:right w:val="none" w:sz="0" w:space="0" w:color="auto"/>
      </w:divBdr>
      <w:divsChild>
        <w:div w:id="370541178">
          <w:marLeft w:val="0"/>
          <w:marRight w:val="0"/>
          <w:marTop w:val="0"/>
          <w:marBottom w:val="0"/>
          <w:divBdr>
            <w:top w:val="none" w:sz="0" w:space="0" w:color="auto"/>
            <w:left w:val="none" w:sz="0" w:space="0" w:color="auto"/>
            <w:bottom w:val="none" w:sz="0" w:space="0" w:color="auto"/>
            <w:right w:val="none" w:sz="0" w:space="0" w:color="auto"/>
          </w:divBdr>
          <w:divsChild>
            <w:div w:id="1241327389">
              <w:marLeft w:val="0"/>
              <w:marRight w:val="0"/>
              <w:marTop w:val="0"/>
              <w:marBottom w:val="0"/>
              <w:divBdr>
                <w:top w:val="none" w:sz="0" w:space="0" w:color="auto"/>
                <w:left w:val="none" w:sz="0" w:space="0" w:color="auto"/>
                <w:bottom w:val="none" w:sz="0" w:space="0" w:color="auto"/>
                <w:right w:val="none" w:sz="0" w:space="0" w:color="auto"/>
              </w:divBdr>
              <w:divsChild>
                <w:div w:id="7046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8719">
          <w:marLeft w:val="0"/>
          <w:marRight w:val="0"/>
          <w:marTop w:val="0"/>
          <w:marBottom w:val="0"/>
          <w:divBdr>
            <w:top w:val="none" w:sz="0" w:space="0" w:color="auto"/>
            <w:left w:val="none" w:sz="0" w:space="0" w:color="auto"/>
            <w:bottom w:val="none" w:sz="0" w:space="0" w:color="auto"/>
            <w:right w:val="none" w:sz="0" w:space="0" w:color="auto"/>
          </w:divBdr>
          <w:divsChild>
            <w:div w:id="351493729">
              <w:marLeft w:val="0"/>
              <w:marRight w:val="0"/>
              <w:marTop w:val="0"/>
              <w:marBottom w:val="0"/>
              <w:divBdr>
                <w:top w:val="none" w:sz="0" w:space="0" w:color="auto"/>
                <w:left w:val="none" w:sz="0" w:space="0" w:color="auto"/>
                <w:bottom w:val="none" w:sz="0" w:space="0" w:color="auto"/>
                <w:right w:val="none" w:sz="0" w:space="0" w:color="auto"/>
              </w:divBdr>
              <w:divsChild>
                <w:div w:id="753549487">
                  <w:marLeft w:val="0"/>
                  <w:marRight w:val="0"/>
                  <w:marTop w:val="0"/>
                  <w:marBottom w:val="0"/>
                  <w:divBdr>
                    <w:top w:val="none" w:sz="0" w:space="0" w:color="auto"/>
                    <w:left w:val="none" w:sz="0" w:space="0" w:color="auto"/>
                    <w:bottom w:val="none" w:sz="0" w:space="0" w:color="auto"/>
                    <w:right w:val="none" w:sz="0" w:space="0" w:color="auto"/>
                  </w:divBdr>
                  <w:divsChild>
                    <w:div w:id="1923878153">
                      <w:marLeft w:val="0"/>
                      <w:marRight w:val="0"/>
                      <w:marTop w:val="0"/>
                      <w:marBottom w:val="0"/>
                      <w:divBdr>
                        <w:top w:val="none" w:sz="0" w:space="0" w:color="auto"/>
                        <w:left w:val="none" w:sz="0" w:space="0" w:color="auto"/>
                        <w:bottom w:val="none" w:sz="0" w:space="0" w:color="auto"/>
                        <w:right w:val="none" w:sz="0" w:space="0" w:color="auto"/>
                      </w:divBdr>
                      <w:divsChild>
                        <w:div w:id="1008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91590">
      <w:bodyDiv w:val="1"/>
      <w:marLeft w:val="0"/>
      <w:marRight w:val="0"/>
      <w:marTop w:val="0"/>
      <w:marBottom w:val="0"/>
      <w:divBdr>
        <w:top w:val="none" w:sz="0" w:space="0" w:color="auto"/>
        <w:left w:val="none" w:sz="0" w:space="0" w:color="auto"/>
        <w:bottom w:val="none" w:sz="0" w:space="0" w:color="auto"/>
        <w:right w:val="none" w:sz="0" w:space="0" w:color="auto"/>
      </w:divBdr>
    </w:div>
    <w:div w:id="2060781887">
      <w:bodyDiv w:val="1"/>
      <w:marLeft w:val="0"/>
      <w:marRight w:val="0"/>
      <w:marTop w:val="0"/>
      <w:marBottom w:val="0"/>
      <w:divBdr>
        <w:top w:val="none" w:sz="0" w:space="0" w:color="auto"/>
        <w:left w:val="none" w:sz="0" w:space="0" w:color="auto"/>
        <w:bottom w:val="none" w:sz="0" w:space="0" w:color="auto"/>
        <w:right w:val="none" w:sz="0" w:space="0" w:color="auto"/>
      </w:divBdr>
    </w:div>
    <w:div w:id="2085953214">
      <w:bodyDiv w:val="1"/>
      <w:marLeft w:val="0"/>
      <w:marRight w:val="0"/>
      <w:marTop w:val="0"/>
      <w:marBottom w:val="0"/>
      <w:divBdr>
        <w:top w:val="none" w:sz="0" w:space="0" w:color="auto"/>
        <w:left w:val="none" w:sz="0" w:space="0" w:color="auto"/>
        <w:bottom w:val="none" w:sz="0" w:space="0" w:color="auto"/>
        <w:right w:val="none" w:sz="0" w:space="0" w:color="auto"/>
      </w:divBdr>
    </w:div>
    <w:div w:id="2119058556">
      <w:bodyDiv w:val="1"/>
      <w:marLeft w:val="0"/>
      <w:marRight w:val="0"/>
      <w:marTop w:val="0"/>
      <w:marBottom w:val="0"/>
      <w:divBdr>
        <w:top w:val="none" w:sz="0" w:space="0" w:color="auto"/>
        <w:left w:val="none" w:sz="0" w:space="0" w:color="auto"/>
        <w:bottom w:val="none" w:sz="0" w:space="0" w:color="auto"/>
        <w:right w:val="none" w:sz="0" w:space="0" w:color="auto"/>
      </w:divBdr>
      <w:divsChild>
        <w:div w:id="1051346832">
          <w:marLeft w:val="0"/>
          <w:marRight w:val="0"/>
          <w:marTop w:val="0"/>
          <w:marBottom w:val="0"/>
          <w:divBdr>
            <w:top w:val="none" w:sz="0" w:space="0" w:color="auto"/>
            <w:left w:val="none" w:sz="0" w:space="0" w:color="auto"/>
            <w:bottom w:val="none" w:sz="0" w:space="0" w:color="auto"/>
            <w:right w:val="none" w:sz="0" w:space="0" w:color="auto"/>
          </w:divBdr>
          <w:divsChild>
            <w:div w:id="2147236119">
              <w:marLeft w:val="0"/>
              <w:marRight w:val="0"/>
              <w:marTop w:val="0"/>
              <w:marBottom w:val="0"/>
              <w:divBdr>
                <w:top w:val="none" w:sz="0" w:space="0" w:color="auto"/>
                <w:left w:val="none" w:sz="0" w:space="0" w:color="auto"/>
                <w:bottom w:val="none" w:sz="0" w:space="0" w:color="auto"/>
                <w:right w:val="none" w:sz="0" w:space="0" w:color="auto"/>
              </w:divBdr>
              <w:divsChild>
                <w:div w:id="1380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1353">
          <w:marLeft w:val="0"/>
          <w:marRight w:val="0"/>
          <w:marTop w:val="0"/>
          <w:marBottom w:val="0"/>
          <w:divBdr>
            <w:top w:val="none" w:sz="0" w:space="0" w:color="auto"/>
            <w:left w:val="none" w:sz="0" w:space="0" w:color="auto"/>
            <w:bottom w:val="none" w:sz="0" w:space="0" w:color="auto"/>
            <w:right w:val="none" w:sz="0" w:space="0" w:color="auto"/>
          </w:divBdr>
          <w:divsChild>
            <w:div w:id="865169696">
              <w:marLeft w:val="0"/>
              <w:marRight w:val="0"/>
              <w:marTop w:val="0"/>
              <w:marBottom w:val="0"/>
              <w:divBdr>
                <w:top w:val="none" w:sz="0" w:space="0" w:color="auto"/>
                <w:left w:val="none" w:sz="0" w:space="0" w:color="auto"/>
                <w:bottom w:val="none" w:sz="0" w:space="0" w:color="auto"/>
                <w:right w:val="none" w:sz="0" w:space="0" w:color="auto"/>
              </w:divBdr>
              <w:divsChild>
                <w:div w:id="729771621">
                  <w:marLeft w:val="0"/>
                  <w:marRight w:val="0"/>
                  <w:marTop w:val="0"/>
                  <w:marBottom w:val="0"/>
                  <w:divBdr>
                    <w:top w:val="none" w:sz="0" w:space="0" w:color="auto"/>
                    <w:left w:val="none" w:sz="0" w:space="0" w:color="auto"/>
                    <w:bottom w:val="none" w:sz="0" w:space="0" w:color="auto"/>
                    <w:right w:val="none" w:sz="0" w:space="0" w:color="auto"/>
                  </w:divBdr>
                  <w:divsChild>
                    <w:div w:id="1553686462">
                      <w:marLeft w:val="0"/>
                      <w:marRight w:val="0"/>
                      <w:marTop w:val="0"/>
                      <w:marBottom w:val="0"/>
                      <w:divBdr>
                        <w:top w:val="none" w:sz="0" w:space="0" w:color="auto"/>
                        <w:left w:val="none" w:sz="0" w:space="0" w:color="auto"/>
                        <w:bottom w:val="none" w:sz="0" w:space="0" w:color="auto"/>
                        <w:right w:val="none" w:sz="0" w:space="0" w:color="auto"/>
                      </w:divBdr>
                      <w:divsChild>
                        <w:div w:id="15005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i.g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e.chatzakis@dei.g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stefos@dei.gr" TargetMode="External"/><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156DD0188A2F454B943ADEE99353ADCA" ma:contentTypeVersion="19" ma:contentTypeDescription="Δημιουργία νέου εγγράφου" ma:contentTypeScope="" ma:versionID="a8e88de22b78f5b65c1c7e3262bdb3fb">
  <xsd:schema xmlns:xsd="http://www.w3.org/2001/XMLSchema" xmlns:xs="http://www.w3.org/2001/XMLSchema" xmlns:p="http://schemas.microsoft.com/office/2006/metadata/properties" xmlns:ns2="d4a73344-bfe6-440b-9b69-98a86bbafe65" xmlns:ns3="a7e01fe4-ae50-4c57-9906-a3e0af1b3929" targetNamespace="http://schemas.microsoft.com/office/2006/metadata/properties" ma:root="true" ma:fieldsID="c2ca85db5c79f3bee20f055f63cc383e" ns2:_="" ns3:_="">
    <xsd:import namespace="d4a73344-bfe6-440b-9b69-98a86bbafe65"/>
    <xsd:import namespace="a7e01fe4-ae50-4c57-9906-a3e0af1b3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73344-bfe6-440b-9b69-98a86bbaf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8e84d12a-bbe8-425e-a1dd-79ebf8e7e8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e01fe4-ae50-4c57-9906-a3e0af1b39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e3957d-0996-4bd8-adeb-86c932f9cb50}" ma:internalName="TaxCatchAll" ma:showField="CatchAllData" ma:web="a7e01fe4-ae50-4c57-9906-a3e0af1b392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e01fe4-ae50-4c57-9906-a3e0af1b3929" xsi:nil="true"/>
    <lcf76f155ced4ddcb4097134ff3c332f xmlns="d4a73344-bfe6-440b-9b69-98a86bbafe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7B659-5033-4759-8217-A7252D371D24}">
  <ds:schemaRefs>
    <ds:schemaRef ds:uri="http://schemas.microsoft.com/sharepoint/v3/contenttype/forms"/>
  </ds:schemaRefs>
</ds:datastoreItem>
</file>

<file path=customXml/itemProps2.xml><?xml version="1.0" encoding="utf-8"?>
<ds:datastoreItem xmlns:ds="http://schemas.openxmlformats.org/officeDocument/2006/customXml" ds:itemID="{4096AA0A-1014-40EF-B762-67B153932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73344-bfe6-440b-9b69-98a86bbafe65"/>
    <ds:schemaRef ds:uri="a7e01fe4-ae50-4c57-9906-a3e0af1b3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E1BC7-5640-4020-8325-B140F59D03C4}">
  <ds:schemaRefs>
    <ds:schemaRef ds:uri="http://schemas.microsoft.com/office/2006/metadata/properties"/>
    <ds:schemaRef ds:uri="http://schemas.microsoft.com/office/infopath/2007/PartnerControls"/>
    <ds:schemaRef ds:uri="a7e01fe4-ae50-4c57-9906-a3e0af1b3929"/>
    <ds:schemaRef ds:uri="d4a73344-bfe6-440b-9b69-98a86bbafe65"/>
  </ds:schemaRefs>
</ds:datastoreItem>
</file>

<file path=customXml/itemProps4.xml><?xml version="1.0" encoding="utf-8"?>
<ds:datastoreItem xmlns:ds="http://schemas.openxmlformats.org/officeDocument/2006/customXml" ds:itemID="{66B6385A-2398-438A-9436-8E77E077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3220</Words>
  <Characters>17389</Characters>
  <Application>Microsoft Office Word</Application>
  <DocSecurity>0</DocSecurity>
  <Lines>144</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Pantelis Arsenis</cp:lastModifiedBy>
  <cp:revision>2</cp:revision>
  <cp:lastPrinted>2023-11-04T07:10:00Z</cp:lastPrinted>
  <dcterms:created xsi:type="dcterms:W3CDTF">2023-11-09T15:43:00Z</dcterms:created>
  <dcterms:modified xsi:type="dcterms:W3CDTF">2023-11-09T15:43:00Z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0x010100156DD0188A2F454B943ADEE99353ADCA</vt:lpwstr>
  </property>
  <property fmtid="{D5CDD505-2E9C-101B-9397-08002B2CF9AE}" pid="3" name="Order">
    <vt:r8>5826600</vt:r8>
  </property>
  <property fmtid="{D5CDD505-2E9C-101B-9397-08002B2CF9AE}" pid="4" name="MediaServiceImageTags">
    <vt:lpwstr/>
  </property>
</Properties>
</file>